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46" w:rsidRPr="00B77F75" w:rsidRDefault="00C51C46" w:rsidP="00EF05CF">
      <w:pPr>
        <w:jc w:val="both"/>
      </w:pPr>
    </w:p>
    <w:p w:rsidR="00C51C46" w:rsidRPr="00B77F75" w:rsidRDefault="00C51C46" w:rsidP="00EF05CF">
      <w:pPr>
        <w:jc w:val="both"/>
      </w:pPr>
    </w:p>
    <w:p w:rsidR="00C51C46" w:rsidRPr="00B77F75" w:rsidRDefault="00C51C46" w:rsidP="00C51C46">
      <w:pPr>
        <w:rPr>
          <w:b/>
        </w:rPr>
      </w:pPr>
      <w:r w:rsidRPr="00B77F75">
        <w:rPr>
          <w:b/>
          <w:i/>
        </w:rPr>
        <w:t>Privitak 3.</w:t>
      </w:r>
      <w:r w:rsidRPr="00B77F75">
        <w:rPr>
          <w:b/>
        </w:rPr>
        <w:t xml:space="preserve"> Obrazac obrazloženja financijskog plana Sveučilišta Jurja Dobrile u Puli</w:t>
      </w:r>
      <w:r w:rsidR="00367C03" w:rsidRPr="00B77F75">
        <w:rPr>
          <w:b/>
        </w:rPr>
        <w:t xml:space="preserve"> za razdoblje 202</w:t>
      </w:r>
      <w:r w:rsidR="00223481">
        <w:rPr>
          <w:b/>
        </w:rPr>
        <w:t>6</w:t>
      </w:r>
      <w:r w:rsidR="00367C03" w:rsidRPr="00B77F75">
        <w:rPr>
          <w:b/>
        </w:rPr>
        <w:t>.-202</w:t>
      </w:r>
      <w:r w:rsidR="00223481">
        <w:rPr>
          <w:b/>
        </w:rPr>
        <w:t>8</w:t>
      </w:r>
      <w:r w:rsidR="00367C03" w:rsidRPr="00B77F75">
        <w:rPr>
          <w:b/>
        </w:rPr>
        <w:t>.g.</w:t>
      </w:r>
    </w:p>
    <w:p w:rsidR="00C83BD7" w:rsidRPr="00B77F75" w:rsidRDefault="00C83BD7" w:rsidP="00C51C46">
      <w:pPr>
        <w:rPr>
          <w:b/>
        </w:rPr>
      </w:pPr>
    </w:p>
    <w:p w:rsidR="00C51C46" w:rsidRPr="00B77F75" w:rsidRDefault="00C51C46" w:rsidP="00C51C46"/>
    <w:p w:rsidR="00C51C46" w:rsidRPr="00B77F75" w:rsidRDefault="00C51C46" w:rsidP="00C51C46">
      <w:pPr>
        <w:pBdr>
          <w:top w:val="dotted" w:sz="4" w:space="1" w:color="808080" w:themeColor="background1" w:themeShade="80"/>
          <w:bottom w:val="dotted" w:sz="4" w:space="1" w:color="808080" w:themeColor="background1" w:themeShade="80"/>
        </w:pBdr>
        <w:shd w:val="clear" w:color="auto" w:fill="D0CECE" w:themeFill="background2" w:themeFillShade="E6"/>
        <w:jc w:val="both"/>
        <w:rPr>
          <w:b/>
          <w:sz w:val="28"/>
        </w:rPr>
      </w:pPr>
      <w:r w:rsidRPr="00B77F75">
        <w:rPr>
          <w:b/>
          <w:sz w:val="28"/>
        </w:rPr>
        <w:t>Sažetak djelokruga rada proračunskog korisnika</w:t>
      </w:r>
    </w:p>
    <w:p w:rsidR="00C51C46" w:rsidRPr="00B77F75" w:rsidRDefault="00C51C46" w:rsidP="00C51C46">
      <w:pPr>
        <w:contextualSpacing/>
        <w:jc w:val="both"/>
        <w:rPr>
          <w:i/>
        </w:rPr>
      </w:pPr>
      <w:r w:rsidRPr="00B77F75">
        <w:rPr>
          <w:i/>
        </w:rPr>
        <w:t>U uvodnom dijelu obrazloženja predstavlja se korisnik. Opisuju se najznačajniji poslovi i zadaci, obrazlaže opravdanost prijedloga financijskog plana s obzirom na ukupno predloženi iznos rashoda, odstupanja plana u odnosu na prethodne godine i naglašavaju specifičnosti (primjerice promjene u organizaciji - promjene u broju zaposlenih i slično).</w:t>
      </w:r>
    </w:p>
    <w:p w:rsidR="00C51C46" w:rsidRPr="00B77F75" w:rsidRDefault="00C51C46" w:rsidP="00C51C46">
      <w:pPr>
        <w:contextualSpacing/>
        <w:jc w:val="both"/>
        <w:rPr>
          <w:i/>
        </w:rPr>
      </w:pPr>
    </w:p>
    <w:p w:rsidR="00B949FD" w:rsidRDefault="00B949FD" w:rsidP="00A62391">
      <w:pPr>
        <w:spacing w:line="360" w:lineRule="auto"/>
        <w:ind w:firstLine="708"/>
        <w:jc w:val="both"/>
      </w:pPr>
    </w:p>
    <w:p w:rsidR="00B949FD" w:rsidRPr="00296E8D" w:rsidRDefault="00B949FD" w:rsidP="00B949FD">
      <w:pPr>
        <w:jc w:val="both"/>
      </w:pPr>
      <w:r w:rsidRPr="00296E8D">
        <w:t>Sukladno Statutu Sveučilišta, Sveučilište Jurja Dobrile u Puli kao javno visoko učilište obavlja djelatnost visokog obrazovanja, znanstvenu odnosno umjetničku djelatnost i stručnu djelatnost u najmanje dva znanstvena područja ili u znanstvenom i umjetničkom području te u najmanje tri polja.</w:t>
      </w:r>
    </w:p>
    <w:p w:rsidR="00B949FD" w:rsidRPr="00296E8D" w:rsidRDefault="00B949FD" w:rsidP="00B949FD">
      <w:pPr>
        <w:jc w:val="both"/>
      </w:pPr>
      <w:r w:rsidRPr="00296E8D">
        <w:t>Sveučilište može osnovati kao sastavnice bez pravne osobnosti fakultet odnosno umjetničku akademiju, sveučilišni odjel, institut, centar, zavod, kliniku ili drugu ustrojstvenu jedinicu koje služe zadovoljavanju potreba svih članova akademske zajednice Sveučilišta i ostvarenju djelatnosti Sveučilišta a njenom djelatnošću prava i obveze stječe Sveučilište.</w:t>
      </w:r>
    </w:p>
    <w:p w:rsidR="00B949FD" w:rsidRPr="00296E8D" w:rsidRDefault="00B949FD" w:rsidP="00B949FD">
      <w:pPr>
        <w:jc w:val="both"/>
      </w:pPr>
      <w:r w:rsidRPr="00296E8D">
        <w:t xml:space="preserve">Sukladno tome, na Sveučilištu djeluju sljedeće </w:t>
      </w:r>
      <w:r w:rsidRPr="00296E8D">
        <w:rPr>
          <w:b/>
        </w:rPr>
        <w:t>znanstveno-nastavne i umjetničko-nastavne sastavnice:</w:t>
      </w:r>
    </w:p>
    <w:p w:rsidR="00B949FD" w:rsidRPr="00296E8D" w:rsidRDefault="00B949FD" w:rsidP="00B949FD">
      <w:pPr>
        <w:numPr>
          <w:ilvl w:val="0"/>
          <w:numId w:val="35"/>
        </w:numPr>
        <w:spacing w:after="160" w:line="259" w:lineRule="auto"/>
        <w:jc w:val="both"/>
      </w:pPr>
      <w:r w:rsidRPr="00296E8D">
        <w:t>Fakultet ekonomije i turizma "Dr. Mijo Mirković" u Puli,</w:t>
      </w:r>
    </w:p>
    <w:p w:rsidR="00B949FD" w:rsidRPr="00296E8D" w:rsidRDefault="00B949FD" w:rsidP="00B949FD">
      <w:pPr>
        <w:numPr>
          <w:ilvl w:val="0"/>
          <w:numId w:val="35"/>
        </w:numPr>
        <w:spacing w:after="160" w:line="259" w:lineRule="auto"/>
        <w:jc w:val="both"/>
      </w:pPr>
      <w:r w:rsidRPr="00296E8D">
        <w:t>Fakultet informatike u Puli,</w:t>
      </w:r>
    </w:p>
    <w:p w:rsidR="00B949FD" w:rsidRPr="00296E8D" w:rsidRDefault="00B949FD" w:rsidP="00B949FD">
      <w:pPr>
        <w:numPr>
          <w:ilvl w:val="0"/>
          <w:numId w:val="35"/>
        </w:numPr>
        <w:spacing w:after="160" w:line="259" w:lineRule="auto"/>
        <w:jc w:val="both"/>
      </w:pPr>
      <w:r w:rsidRPr="00296E8D">
        <w:t xml:space="preserve">Fakultet prirodnih znanosti u Puli, </w:t>
      </w:r>
    </w:p>
    <w:p w:rsidR="00B949FD" w:rsidRPr="00296E8D" w:rsidRDefault="00B949FD" w:rsidP="00B949FD">
      <w:pPr>
        <w:numPr>
          <w:ilvl w:val="0"/>
          <w:numId w:val="35"/>
        </w:numPr>
        <w:spacing w:after="160" w:line="259" w:lineRule="auto"/>
        <w:jc w:val="both"/>
      </w:pPr>
      <w:r w:rsidRPr="00296E8D">
        <w:t xml:space="preserve">Fakultet </w:t>
      </w:r>
      <w:r>
        <w:t>za odgojne i obrazovne z</w:t>
      </w:r>
      <w:r w:rsidRPr="00296E8D">
        <w:t xml:space="preserve">nanosti u Puli, </w:t>
      </w:r>
    </w:p>
    <w:p w:rsidR="00B949FD" w:rsidRPr="00296E8D" w:rsidRDefault="00B949FD" w:rsidP="00B949FD">
      <w:pPr>
        <w:numPr>
          <w:ilvl w:val="0"/>
          <w:numId w:val="35"/>
        </w:numPr>
        <w:spacing w:after="160" w:line="259" w:lineRule="auto"/>
        <w:jc w:val="both"/>
      </w:pPr>
      <w:r w:rsidRPr="00296E8D">
        <w:t xml:space="preserve">Filozofski fakultet u Puli, </w:t>
      </w:r>
    </w:p>
    <w:p w:rsidR="00B949FD" w:rsidRPr="00296E8D" w:rsidRDefault="00B949FD" w:rsidP="00B949FD">
      <w:pPr>
        <w:numPr>
          <w:ilvl w:val="0"/>
          <w:numId w:val="35"/>
        </w:numPr>
        <w:spacing w:after="160" w:line="259" w:lineRule="auto"/>
        <w:jc w:val="both"/>
      </w:pPr>
      <w:r w:rsidRPr="00296E8D">
        <w:t xml:space="preserve">Medicinski fakultet u Puli, </w:t>
      </w:r>
    </w:p>
    <w:p w:rsidR="00B949FD" w:rsidRPr="00296E8D" w:rsidRDefault="00B949FD" w:rsidP="00B949FD">
      <w:pPr>
        <w:numPr>
          <w:ilvl w:val="0"/>
          <w:numId w:val="35"/>
        </w:numPr>
        <w:spacing w:after="160" w:line="259" w:lineRule="auto"/>
        <w:jc w:val="both"/>
      </w:pPr>
      <w:r w:rsidRPr="00296E8D">
        <w:t xml:space="preserve">Muzička akademija u Puli, </w:t>
      </w:r>
    </w:p>
    <w:p w:rsidR="00B949FD" w:rsidRPr="00296E8D" w:rsidRDefault="00B949FD" w:rsidP="00B949FD">
      <w:pPr>
        <w:numPr>
          <w:ilvl w:val="0"/>
          <w:numId w:val="35"/>
        </w:numPr>
        <w:spacing w:after="160" w:line="259" w:lineRule="auto"/>
        <w:jc w:val="both"/>
      </w:pPr>
      <w:r w:rsidRPr="00296E8D">
        <w:t xml:space="preserve">Tehnički fakultet u Puli. </w:t>
      </w:r>
    </w:p>
    <w:p w:rsidR="00B949FD" w:rsidRPr="00296E8D" w:rsidRDefault="00B949FD" w:rsidP="00B949FD">
      <w:pPr>
        <w:jc w:val="both"/>
        <w:rPr>
          <w:b/>
        </w:rPr>
      </w:pPr>
      <w:r w:rsidRPr="00296E8D">
        <w:t xml:space="preserve">Uz </w:t>
      </w:r>
      <w:r w:rsidRPr="00106BE5">
        <w:rPr>
          <w:bCs/>
        </w:rPr>
        <w:t>znanstvenu sastavnicu</w:t>
      </w:r>
      <w:r w:rsidRPr="00296E8D">
        <w:rPr>
          <w:b/>
        </w:rPr>
        <w:t xml:space="preserve"> </w:t>
      </w:r>
      <w:r w:rsidRPr="00296E8D">
        <w:t>znanstveno-tehnološki institut VISIO, djeluju  i ostale i sastavnice i ustrojstvene jedinice:</w:t>
      </w:r>
      <w:r>
        <w:t xml:space="preserve"> </w:t>
      </w:r>
      <w:r w:rsidRPr="00296E8D">
        <w:t>Studentski centar Pula, Sveučilišna knjižnica u Puli, Centar za kompetencije u obrazovanju</w:t>
      </w:r>
      <w:r>
        <w:t xml:space="preserve">, </w:t>
      </w:r>
      <w:r w:rsidRPr="00296E8D">
        <w:t>Sveučilišni računski i informacijski centar u Puli, Centar za kulturološka i povijesna istraživanja socijalizma, Centar za europska istraživanja</w:t>
      </w:r>
      <w:r>
        <w:t xml:space="preserve"> i drugi centri pri sastavnicama</w:t>
      </w:r>
      <w:r w:rsidRPr="00296E8D">
        <w:t>.</w:t>
      </w:r>
    </w:p>
    <w:p w:rsidR="00B949FD" w:rsidRPr="00296E8D" w:rsidRDefault="00B949FD" w:rsidP="00B949FD">
      <w:pPr>
        <w:jc w:val="both"/>
        <w:rPr>
          <w:b/>
        </w:rPr>
      </w:pPr>
      <w:r w:rsidRPr="00296E8D">
        <w:t>Sukladno čl. 6. Statuta Sveučilišta</w:t>
      </w:r>
      <w:r w:rsidRPr="00296E8D">
        <w:rPr>
          <w:b/>
        </w:rPr>
        <w:t xml:space="preserve">, djelatnosti Sveučilišta su: </w:t>
      </w:r>
    </w:p>
    <w:p w:rsidR="00B949FD" w:rsidRPr="00296E8D" w:rsidRDefault="00B949FD" w:rsidP="00B949FD">
      <w:pPr>
        <w:numPr>
          <w:ilvl w:val="0"/>
          <w:numId w:val="27"/>
        </w:numPr>
        <w:spacing w:after="160" w:line="259" w:lineRule="auto"/>
        <w:jc w:val="both"/>
      </w:pPr>
      <w:r w:rsidRPr="00296E8D">
        <w:t>visoko obrazovanje,</w:t>
      </w:r>
    </w:p>
    <w:p w:rsidR="00B949FD" w:rsidRPr="00296E8D" w:rsidRDefault="00B949FD" w:rsidP="00B949FD">
      <w:pPr>
        <w:numPr>
          <w:ilvl w:val="0"/>
          <w:numId w:val="27"/>
        </w:numPr>
        <w:spacing w:after="160" w:line="259" w:lineRule="auto"/>
        <w:jc w:val="both"/>
      </w:pPr>
      <w:r w:rsidRPr="00296E8D">
        <w:t>ustrojavanje i izvođenje sveučilišnih prijediplomskih studija, sveučilišnih diplomskih studija, sveučilišnih integriranih prijediplomskih i diplomskih studija te poslijediplomskih sveučilišnih specijalističkih studija i doktorskih studija,</w:t>
      </w:r>
    </w:p>
    <w:p w:rsidR="00B949FD" w:rsidRPr="00296E8D" w:rsidRDefault="00B949FD" w:rsidP="00B949FD">
      <w:pPr>
        <w:numPr>
          <w:ilvl w:val="0"/>
          <w:numId w:val="27"/>
        </w:numPr>
        <w:spacing w:after="160" w:line="259" w:lineRule="auto"/>
        <w:jc w:val="both"/>
      </w:pPr>
      <w:r w:rsidRPr="00296E8D">
        <w:lastRenderedPageBreak/>
        <w:t>ustrojavanje i izvođenje stručnih prijediplomskih studija, stručnih diplomskih studij</w:t>
      </w:r>
      <w:r>
        <w:t>a</w:t>
      </w:r>
      <w:r w:rsidRPr="00296E8D">
        <w:t xml:space="preserve"> i stručnih kratkih studija, provedba programa stručne prakse,</w:t>
      </w:r>
    </w:p>
    <w:p w:rsidR="00B949FD" w:rsidRPr="00296E8D" w:rsidRDefault="00B949FD" w:rsidP="00B949FD">
      <w:pPr>
        <w:numPr>
          <w:ilvl w:val="0"/>
          <w:numId w:val="27"/>
        </w:numPr>
        <w:spacing w:after="160" w:line="259" w:lineRule="auto"/>
        <w:jc w:val="both"/>
      </w:pPr>
      <w:r w:rsidRPr="00296E8D">
        <w:t>ustrojavanje i izvođenje programa stručnog usavršavanja za potrebe cjeloživotnog učenja i</w:t>
      </w:r>
    </w:p>
    <w:p w:rsidR="00B949FD" w:rsidRPr="00296E8D" w:rsidRDefault="00B949FD" w:rsidP="00B949FD">
      <w:pPr>
        <w:numPr>
          <w:ilvl w:val="0"/>
          <w:numId w:val="27"/>
        </w:numPr>
        <w:spacing w:after="160" w:line="259" w:lineRule="auto"/>
        <w:jc w:val="both"/>
      </w:pPr>
      <w:r w:rsidRPr="00296E8D">
        <w:t xml:space="preserve"> obavljanje znanstvene, umjetničke i stručne djelatnosti.</w:t>
      </w:r>
    </w:p>
    <w:p w:rsidR="00CC59C9" w:rsidRDefault="00CC59C9" w:rsidP="00B949FD">
      <w:pPr>
        <w:jc w:val="both"/>
        <w:rPr>
          <w:b/>
        </w:rPr>
      </w:pPr>
    </w:p>
    <w:p w:rsidR="00B949FD" w:rsidRDefault="00B949FD" w:rsidP="00B949FD">
      <w:pPr>
        <w:jc w:val="both"/>
      </w:pPr>
      <w:r w:rsidRPr="00296E8D">
        <w:rPr>
          <w:b/>
        </w:rPr>
        <w:t>Ostale djelatnosti Sveučilišta</w:t>
      </w:r>
      <w:r w:rsidRPr="00296E8D">
        <w:t>:</w:t>
      </w:r>
    </w:p>
    <w:p w:rsidR="00CC59C9" w:rsidRPr="00296E8D" w:rsidRDefault="00CC59C9" w:rsidP="00B949FD">
      <w:pPr>
        <w:jc w:val="both"/>
      </w:pPr>
    </w:p>
    <w:p w:rsidR="00B949FD" w:rsidRPr="00296E8D" w:rsidRDefault="00B949FD" w:rsidP="00B949FD">
      <w:pPr>
        <w:numPr>
          <w:ilvl w:val="0"/>
          <w:numId w:val="36"/>
        </w:numPr>
        <w:spacing w:after="160" w:line="259" w:lineRule="auto"/>
        <w:jc w:val="both"/>
      </w:pPr>
      <w:r w:rsidRPr="00296E8D">
        <w:t xml:space="preserve">izdavačka, tiskarska, knjižnična i informatička djelatnost, </w:t>
      </w:r>
    </w:p>
    <w:p w:rsidR="00B949FD" w:rsidRPr="00296E8D" w:rsidRDefault="00B949FD" w:rsidP="00B949FD">
      <w:pPr>
        <w:numPr>
          <w:ilvl w:val="0"/>
          <w:numId w:val="36"/>
        </w:numPr>
        <w:spacing w:after="160" w:line="259" w:lineRule="auto"/>
        <w:jc w:val="both"/>
      </w:pPr>
      <w:r w:rsidRPr="00296E8D">
        <w:t xml:space="preserve">izrada stručnih mišljenja, vještačenja, ekspertiza i elaborata te pružanje savjetodavnih usluga, </w:t>
      </w:r>
    </w:p>
    <w:p w:rsidR="00B949FD" w:rsidRPr="00296E8D" w:rsidRDefault="00B949FD" w:rsidP="00B949FD">
      <w:pPr>
        <w:numPr>
          <w:ilvl w:val="0"/>
          <w:numId w:val="36"/>
        </w:numPr>
        <w:spacing w:after="160" w:line="259" w:lineRule="auto"/>
        <w:jc w:val="both"/>
      </w:pPr>
      <w:r w:rsidRPr="00296E8D">
        <w:t xml:space="preserve">arheološka iskapanja, </w:t>
      </w:r>
    </w:p>
    <w:p w:rsidR="00B949FD" w:rsidRPr="00296E8D" w:rsidRDefault="00B949FD" w:rsidP="00B949FD">
      <w:pPr>
        <w:numPr>
          <w:ilvl w:val="0"/>
          <w:numId w:val="36"/>
        </w:numPr>
        <w:spacing w:after="160" w:line="259" w:lineRule="auto"/>
        <w:jc w:val="both"/>
      </w:pPr>
      <w:r w:rsidRPr="00296E8D">
        <w:t xml:space="preserve">organiziranje i održavanje znanstvenih skupova, savjetovanja, konferencija, seminara, koncerata, umjetničkih izložbi, javno prikazivanje i izvođenje umjetničkih djela i drugo, </w:t>
      </w:r>
    </w:p>
    <w:p w:rsidR="00B949FD" w:rsidRPr="00296E8D" w:rsidRDefault="00B949FD" w:rsidP="00B949FD">
      <w:pPr>
        <w:numPr>
          <w:ilvl w:val="0"/>
          <w:numId w:val="36"/>
        </w:numPr>
        <w:spacing w:after="160" w:line="259" w:lineRule="auto"/>
        <w:jc w:val="both"/>
      </w:pPr>
      <w:r w:rsidRPr="00296E8D">
        <w:t xml:space="preserve">smještaj i prehrana studenata te posredovanje u zapošljavanju studenata, </w:t>
      </w:r>
    </w:p>
    <w:p w:rsidR="00B949FD" w:rsidRPr="00296E8D" w:rsidRDefault="00B949FD" w:rsidP="00B949FD">
      <w:pPr>
        <w:numPr>
          <w:ilvl w:val="0"/>
          <w:numId w:val="36"/>
        </w:numPr>
        <w:spacing w:after="160" w:line="259" w:lineRule="auto"/>
        <w:jc w:val="both"/>
      </w:pPr>
      <w:r w:rsidRPr="00296E8D">
        <w:t xml:space="preserve">upravljanje sveučilišnim nekretninama, najam nekretnina i opreme,  </w:t>
      </w:r>
    </w:p>
    <w:p w:rsidR="00B949FD" w:rsidRPr="00296E8D" w:rsidRDefault="00B949FD" w:rsidP="00B949FD">
      <w:pPr>
        <w:numPr>
          <w:ilvl w:val="0"/>
          <w:numId w:val="36"/>
        </w:numPr>
        <w:spacing w:after="160" w:line="259" w:lineRule="auto"/>
        <w:jc w:val="both"/>
      </w:pPr>
      <w:r w:rsidRPr="00296E8D">
        <w:t xml:space="preserve">kulturne i sportske aktivnosti, </w:t>
      </w:r>
    </w:p>
    <w:p w:rsidR="00B949FD" w:rsidRPr="00296E8D" w:rsidRDefault="00B949FD" w:rsidP="00B949FD">
      <w:pPr>
        <w:numPr>
          <w:ilvl w:val="0"/>
          <w:numId w:val="36"/>
        </w:numPr>
        <w:spacing w:after="160" w:line="259" w:lineRule="auto"/>
        <w:jc w:val="both"/>
      </w:pPr>
      <w:r w:rsidRPr="00296E8D">
        <w:t>djelatnost ranog i predškolskog odgoja i obrazovanja,</w:t>
      </w:r>
    </w:p>
    <w:p w:rsidR="00B949FD" w:rsidRPr="00296E8D" w:rsidRDefault="00B949FD" w:rsidP="00B949FD">
      <w:pPr>
        <w:numPr>
          <w:ilvl w:val="0"/>
          <w:numId w:val="36"/>
        </w:numPr>
        <w:spacing w:after="160" w:line="259" w:lineRule="auto"/>
        <w:jc w:val="both"/>
      </w:pPr>
      <w:r w:rsidRPr="00296E8D">
        <w:t xml:space="preserve">stručno savjetovanje,   </w:t>
      </w:r>
    </w:p>
    <w:p w:rsidR="00B949FD" w:rsidRPr="00296E8D" w:rsidRDefault="00B949FD" w:rsidP="00B949FD">
      <w:pPr>
        <w:numPr>
          <w:ilvl w:val="0"/>
          <w:numId w:val="36"/>
        </w:numPr>
        <w:spacing w:after="160" w:line="259" w:lineRule="auto"/>
        <w:jc w:val="both"/>
      </w:pPr>
      <w:r w:rsidRPr="00296E8D">
        <w:t xml:space="preserve">transfer tehnologija u gospodarstvo i zajednicu,  </w:t>
      </w:r>
    </w:p>
    <w:p w:rsidR="00B949FD" w:rsidRPr="00296E8D" w:rsidRDefault="00B949FD" w:rsidP="00B949FD">
      <w:pPr>
        <w:numPr>
          <w:ilvl w:val="0"/>
          <w:numId w:val="36"/>
        </w:numPr>
        <w:spacing w:after="160" w:line="259" w:lineRule="auto"/>
        <w:jc w:val="both"/>
      </w:pPr>
      <w:r w:rsidRPr="00296E8D">
        <w:t xml:space="preserve">obavljanje znanstvenog i visokostručnog rada uz uvjete utvrđene posebnim propisima, </w:t>
      </w:r>
    </w:p>
    <w:p w:rsidR="00B949FD" w:rsidRPr="00296E8D" w:rsidRDefault="00B949FD" w:rsidP="00B949FD">
      <w:pPr>
        <w:numPr>
          <w:ilvl w:val="0"/>
          <w:numId w:val="36"/>
        </w:numPr>
        <w:spacing w:after="160" w:line="259" w:lineRule="auto"/>
        <w:jc w:val="both"/>
      </w:pPr>
      <w:r w:rsidRPr="00296E8D">
        <w:t xml:space="preserve">bibliotečna i informatička djelatnost za potrebe nastave, znanstvenog i stručnog rada, </w:t>
      </w:r>
    </w:p>
    <w:p w:rsidR="00B949FD" w:rsidRPr="00296E8D" w:rsidRDefault="00B949FD" w:rsidP="00B949FD">
      <w:pPr>
        <w:numPr>
          <w:ilvl w:val="0"/>
          <w:numId w:val="36"/>
        </w:numPr>
        <w:spacing w:after="160" w:line="259" w:lineRule="auto"/>
        <w:jc w:val="both"/>
      </w:pPr>
      <w:r w:rsidRPr="00296E8D">
        <w:t>stručn</w:t>
      </w:r>
      <w:r>
        <w:t>i</w:t>
      </w:r>
      <w:r w:rsidRPr="00296E8D">
        <w:t xml:space="preserve"> poslov</w:t>
      </w:r>
      <w:r>
        <w:t>i</w:t>
      </w:r>
      <w:r w:rsidRPr="00296E8D">
        <w:t xml:space="preserve"> zaštite okoliša, </w:t>
      </w:r>
    </w:p>
    <w:p w:rsidR="00B949FD" w:rsidRPr="00296E8D" w:rsidRDefault="00B949FD" w:rsidP="00B949FD">
      <w:pPr>
        <w:numPr>
          <w:ilvl w:val="0"/>
          <w:numId w:val="36"/>
        </w:numPr>
        <w:spacing w:after="160" w:line="259" w:lineRule="auto"/>
        <w:jc w:val="both"/>
      </w:pPr>
      <w:r w:rsidRPr="00296E8D">
        <w:t>osnivanje (studentskih) poduzetničkih inkubatora/</w:t>
      </w:r>
      <w:proofErr w:type="spellStart"/>
      <w:r w:rsidRPr="00296E8D">
        <w:t>spin-off</w:t>
      </w:r>
      <w:proofErr w:type="spellEnd"/>
      <w:r w:rsidRPr="00296E8D">
        <w:t xml:space="preserve"> i dr., </w:t>
      </w:r>
    </w:p>
    <w:p w:rsidR="00B949FD" w:rsidRPr="00296E8D" w:rsidRDefault="00B949FD" w:rsidP="00B949FD">
      <w:pPr>
        <w:numPr>
          <w:ilvl w:val="0"/>
          <w:numId w:val="36"/>
        </w:numPr>
        <w:spacing w:after="160" w:line="259" w:lineRule="auto"/>
        <w:jc w:val="both"/>
      </w:pPr>
      <w:r w:rsidRPr="00296E8D">
        <w:t xml:space="preserve">usluge informacijskog društva, </w:t>
      </w:r>
    </w:p>
    <w:p w:rsidR="00B949FD" w:rsidRPr="00296E8D" w:rsidRDefault="00B949FD" w:rsidP="00B949FD">
      <w:pPr>
        <w:numPr>
          <w:ilvl w:val="0"/>
          <w:numId w:val="36"/>
        </w:numPr>
        <w:spacing w:after="160" w:line="259" w:lineRule="auto"/>
        <w:jc w:val="both"/>
      </w:pPr>
      <w:r w:rsidRPr="00296E8D">
        <w:t xml:space="preserve">djelatnost (izrada i promet) audiovizualnih djela, </w:t>
      </w:r>
    </w:p>
    <w:p w:rsidR="00B949FD" w:rsidRPr="00296E8D" w:rsidRDefault="00B949FD" w:rsidP="00B949FD">
      <w:pPr>
        <w:numPr>
          <w:ilvl w:val="0"/>
          <w:numId w:val="36"/>
        </w:numPr>
        <w:spacing w:after="160" w:line="259" w:lineRule="auto"/>
        <w:jc w:val="both"/>
      </w:pPr>
      <w:r w:rsidRPr="00296E8D">
        <w:t xml:space="preserve">maloprodaja knjiga, drugih tiskanih djela, pribora, suvenira i slično, </w:t>
      </w:r>
    </w:p>
    <w:p w:rsidR="00B949FD" w:rsidRPr="00296E8D" w:rsidRDefault="00B949FD" w:rsidP="00B949FD">
      <w:pPr>
        <w:numPr>
          <w:ilvl w:val="0"/>
          <w:numId w:val="36"/>
        </w:numPr>
        <w:spacing w:after="160" w:line="259" w:lineRule="auto"/>
        <w:jc w:val="both"/>
      </w:pPr>
      <w:r w:rsidRPr="00296E8D">
        <w:t xml:space="preserve">djelatnost stručnog nadzora u području informatike, računarstva, elektrotehnike i strojarstva, monitoring i analiza informacijskih sustava u smislu njihova poboljšanja i optimizacije, </w:t>
      </w:r>
    </w:p>
    <w:p w:rsidR="00B949FD" w:rsidRPr="00296E8D" w:rsidRDefault="00B949FD" w:rsidP="00B949FD">
      <w:pPr>
        <w:numPr>
          <w:ilvl w:val="0"/>
          <w:numId w:val="36"/>
        </w:numPr>
        <w:spacing w:after="160" w:line="259" w:lineRule="auto"/>
        <w:jc w:val="both"/>
      </w:pPr>
      <w:r w:rsidRPr="00296E8D">
        <w:lastRenderedPageBreak/>
        <w:t>djelatnost računalnog programiranja, dostavljanja i održavanja informatičkih i softverskih rješenja, savjetovanja iz područja informatike, upravljanja i analize podataka, te provođenja s time povezanih edukacija,</w:t>
      </w:r>
    </w:p>
    <w:p w:rsidR="00B949FD" w:rsidRPr="00296E8D" w:rsidRDefault="00B949FD" w:rsidP="00B949FD">
      <w:pPr>
        <w:numPr>
          <w:ilvl w:val="0"/>
          <w:numId w:val="36"/>
        </w:numPr>
        <w:spacing w:after="160" w:line="259" w:lineRule="auto"/>
        <w:jc w:val="both"/>
      </w:pPr>
      <w:r w:rsidRPr="00296E8D">
        <w:t>monitoring i analiz</w:t>
      </w:r>
      <w:r>
        <w:t>a</w:t>
      </w:r>
      <w:r w:rsidRPr="00296E8D">
        <w:t xml:space="preserve"> prometnih sustava u smislu njihova poboljšanja i optimizacije, </w:t>
      </w:r>
    </w:p>
    <w:p w:rsidR="00B949FD" w:rsidRPr="00296E8D" w:rsidRDefault="00B949FD" w:rsidP="00B949FD">
      <w:pPr>
        <w:numPr>
          <w:ilvl w:val="0"/>
          <w:numId w:val="36"/>
        </w:numPr>
        <w:spacing w:after="160" w:line="259" w:lineRule="auto"/>
        <w:jc w:val="both"/>
      </w:pPr>
      <w:r w:rsidRPr="00296E8D">
        <w:t xml:space="preserve">monitoring živih bogatstava, monitoring kvalitete mora, uzgoj mlađi, održavanje akvarija, formiranje znanstvenih zbirki, </w:t>
      </w:r>
    </w:p>
    <w:p w:rsidR="00B949FD" w:rsidRPr="00296E8D" w:rsidRDefault="00B949FD" w:rsidP="00B949FD">
      <w:pPr>
        <w:numPr>
          <w:ilvl w:val="0"/>
          <w:numId w:val="36"/>
        </w:numPr>
        <w:spacing w:after="160" w:line="259" w:lineRule="auto"/>
        <w:jc w:val="both"/>
      </w:pPr>
      <w:r w:rsidRPr="00296E8D">
        <w:t xml:space="preserve">savjetovanje i izradba elaborata za uvođenje sustava upravljanja kvalitetom, sustava upravljanja zdravljem i sigurnošću, sustava upravljanja zaštitom okoliša, sustava upravljanja informacijskom sigurnošću, sustava financijskog upravljanja i kvalitete, sustava upravljanja u području prirodnih i okolišnih znanosti, posebice morskih ekosustava, </w:t>
      </w:r>
    </w:p>
    <w:p w:rsidR="00B949FD" w:rsidRPr="00296E8D" w:rsidRDefault="00B949FD" w:rsidP="00B949FD">
      <w:pPr>
        <w:numPr>
          <w:ilvl w:val="0"/>
          <w:numId w:val="36"/>
        </w:numPr>
        <w:spacing w:after="160" w:line="259" w:lineRule="auto"/>
        <w:jc w:val="both"/>
      </w:pPr>
      <w:r w:rsidRPr="00296E8D">
        <w:t xml:space="preserve">potvrđivanje (certificiranje) sustava upravljanja, </w:t>
      </w:r>
    </w:p>
    <w:p w:rsidR="00B949FD" w:rsidRPr="00296E8D" w:rsidRDefault="00B949FD" w:rsidP="00B949FD">
      <w:pPr>
        <w:numPr>
          <w:ilvl w:val="0"/>
          <w:numId w:val="36"/>
        </w:numPr>
        <w:spacing w:after="160" w:line="259" w:lineRule="auto"/>
        <w:jc w:val="both"/>
      </w:pPr>
      <w:r w:rsidRPr="00296E8D">
        <w:t>analize i upravljanja rizicima, upravljanja projektima i konfiguracijama, upravljanja vrijednostima, upravljanja energijom i promocij</w:t>
      </w:r>
      <w:r>
        <w:t>a</w:t>
      </w:r>
      <w:r w:rsidRPr="00296E8D">
        <w:t xml:space="preserve"> društvene odgovornosti, </w:t>
      </w:r>
    </w:p>
    <w:p w:rsidR="00B949FD" w:rsidRPr="00296E8D" w:rsidRDefault="00B949FD" w:rsidP="00B949FD">
      <w:pPr>
        <w:numPr>
          <w:ilvl w:val="0"/>
          <w:numId w:val="36"/>
        </w:numPr>
        <w:spacing w:after="160" w:line="259" w:lineRule="auto"/>
        <w:jc w:val="both"/>
      </w:pPr>
      <w:r w:rsidRPr="00296E8D">
        <w:t xml:space="preserve">stručno usavršavanje poljoprivrednika, širenje znanja i suradnja s gospodarskim sektorom, </w:t>
      </w:r>
    </w:p>
    <w:p w:rsidR="00B949FD" w:rsidRPr="00296E8D" w:rsidRDefault="00B949FD" w:rsidP="00B949FD">
      <w:pPr>
        <w:numPr>
          <w:ilvl w:val="0"/>
          <w:numId w:val="36"/>
        </w:numPr>
        <w:spacing w:after="160" w:line="259" w:lineRule="auto"/>
        <w:jc w:val="both"/>
      </w:pPr>
      <w:r w:rsidRPr="00296E8D">
        <w:t xml:space="preserve">stručno i poslovno savjetovanje, organiziranje stručnih i znanstvenih savjetovanja, </w:t>
      </w:r>
    </w:p>
    <w:p w:rsidR="00B949FD" w:rsidRPr="00296E8D" w:rsidRDefault="00B949FD" w:rsidP="00B949FD">
      <w:pPr>
        <w:numPr>
          <w:ilvl w:val="0"/>
          <w:numId w:val="36"/>
        </w:numPr>
        <w:spacing w:after="160" w:line="259" w:lineRule="auto"/>
        <w:jc w:val="both"/>
      </w:pPr>
      <w:r w:rsidRPr="00296E8D">
        <w:t xml:space="preserve">prevoditeljske djelatnosti, </w:t>
      </w:r>
    </w:p>
    <w:p w:rsidR="00B949FD" w:rsidRPr="00296E8D" w:rsidRDefault="00B949FD" w:rsidP="00B949FD">
      <w:pPr>
        <w:numPr>
          <w:ilvl w:val="0"/>
          <w:numId w:val="36"/>
        </w:numPr>
        <w:spacing w:after="160" w:line="259" w:lineRule="auto"/>
        <w:jc w:val="both"/>
      </w:pPr>
      <w:r w:rsidRPr="00296E8D">
        <w:t xml:space="preserve">organizacija skupova i </w:t>
      </w:r>
    </w:p>
    <w:p w:rsidR="00B949FD" w:rsidRDefault="00B949FD" w:rsidP="00B949FD">
      <w:pPr>
        <w:numPr>
          <w:ilvl w:val="0"/>
          <w:numId w:val="36"/>
        </w:numPr>
        <w:spacing w:after="160" w:line="259" w:lineRule="auto"/>
        <w:jc w:val="both"/>
      </w:pPr>
      <w:r w:rsidRPr="00296E8D">
        <w:t>pripremanje hrane i pružanje usluga prehrane, pripremanje pića i napitaka i pružanje usluga smještaja, prehrana studenata, posredovanje i organizacija prehrane studenata, prodaja i posredovanje ugostiteljskih usluga.</w:t>
      </w:r>
    </w:p>
    <w:p w:rsidR="00B949FD" w:rsidRPr="00F80F9A" w:rsidRDefault="00B949FD" w:rsidP="00B949FD"/>
    <w:p w:rsidR="00B949FD" w:rsidRDefault="00B949FD" w:rsidP="00A62391">
      <w:pPr>
        <w:spacing w:line="360" w:lineRule="auto"/>
        <w:ind w:firstLine="708"/>
        <w:jc w:val="both"/>
      </w:pPr>
    </w:p>
    <w:p w:rsidR="002C54A9" w:rsidRPr="00B77F75" w:rsidRDefault="002C54A9" w:rsidP="00AF2D7C">
      <w:pPr>
        <w:spacing w:line="360" w:lineRule="auto"/>
        <w:ind w:firstLine="708"/>
        <w:jc w:val="both"/>
      </w:pPr>
      <w:r w:rsidRPr="00B77F75">
        <w:t>Od akademske godine 2023/2024 p</w:t>
      </w:r>
      <w:r w:rsidR="003D66F0" w:rsidRPr="00B77F75">
        <w:t xml:space="preserve">roširena je ponuda studijskih programa </w:t>
      </w:r>
      <w:r w:rsidRPr="00B77F75">
        <w:t>na online studije koji omogućuju studentima fleksibilno i personalizirano obrazovanje. Sveučilište nudi online obrazovanje na Fakultetu informatike sa prijediplomskim studijem informatike, diplomskim studijem informatike te diplomskim studijem informatike - nastavni smjer. Osim navedenih, na Fakultetu ekonomije i turizma ''Dr. Mijo Mirković'' izvodi se izvanredni online studij Primijenjene ekonomije na prijediplomskoj i diplomskoj razini, pružajući studentima praktične vještine u poslovnom svijetu i ekonomiji prilagođenu potrebama i obvezama studentima. U</w:t>
      </w:r>
      <w:r w:rsidR="002C38FD" w:rsidRPr="00B77F75">
        <w:t>z to, u</w:t>
      </w:r>
      <w:r w:rsidRPr="00B77F75">
        <w:t xml:space="preserve"> akademskoj godini 2023/2024 dobivena je i dopusnica za diplomski studij Dizajn i audiovizualne komunikacije</w:t>
      </w:r>
      <w:r w:rsidR="002C38FD" w:rsidRPr="00B77F75">
        <w:t>.</w:t>
      </w:r>
    </w:p>
    <w:p w:rsidR="00BB3E70" w:rsidRPr="00B77F75" w:rsidRDefault="00917A3A" w:rsidP="00AF2D7C">
      <w:pPr>
        <w:autoSpaceDE w:val="0"/>
        <w:spacing w:line="360" w:lineRule="auto"/>
        <w:ind w:firstLine="708"/>
        <w:jc w:val="both"/>
      </w:pPr>
      <w:r w:rsidRPr="00B77F75">
        <w:lastRenderedPageBreak/>
        <w:t>Sukladno strateškim ciljevima Sveučilišta</w:t>
      </w:r>
      <w:r w:rsidR="002C38FD" w:rsidRPr="00B77F75">
        <w:t>,</w:t>
      </w:r>
      <w:r w:rsidRPr="00B77F75">
        <w:t xml:space="preserve"> sastavnice promišljeno po područjima znanosti i umjetnosti, vodeći računa o potrebama tržišta rada i preporukama  upisne politike HZZ-a</w:t>
      </w:r>
      <w:r w:rsidR="001A34B3" w:rsidRPr="00B77F75">
        <w:t>,</w:t>
      </w:r>
      <w:r w:rsidRPr="00B77F75">
        <w:t xml:space="preserve"> ostvaruju iskorake prema STEM području, istovremeno njegujući tradiciju društveno-humanističkog područja, razvijaju, revidiraju, u</w:t>
      </w:r>
      <w:r w:rsidR="00C51C46" w:rsidRPr="00B77F75">
        <w:t>strojavaju i izvode sveučilišne i stručne pr</w:t>
      </w:r>
      <w:r w:rsidR="002C54A9" w:rsidRPr="00B77F75">
        <w:t>ijedi</w:t>
      </w:r>
      <w:r w:rsidR="00C51C46" w:rsidRPr="00B77F75">
        <w:t>plomske, integrirane pr</w:t>
      </w:r>
      <w:r w:rsidR="002C54A9" w:rsidRPr="00B77F75">
        <w:t>ije</w:t>
      </w:r>
      <w:r w:rsidR="00C51C46" w:rsidRPr="00B77F75">
        <w:t>diplomske i diplomske studije, diplomske studije u društvenom, humanističkom i umjetničkom području,  u području prirodnih znanosti, tehničkih znanosti, biomedicine i zdravstva. Također se izvode specijalistički i doktorski poslijediplomski studiji</w:t>
      </w:r>
      <w:r w:rsidR="001A34B3" w:rsidRPr="00B77F75">
        <w:t xml:space="preserve">, </w:t>
      </w:r>
      <w:r w:rsidR="0013321B" w:rsidRPr="00B77F75">
        <w:t xml:space="preserve">uključujući </w:t>
      </w:r>
      <w:r w:rsidR="004253F4" w:rsidRPr="00B77F75">
        <w:t xml:space="preserve">međunarodni </w:t>
      </w:r>
      <w:r w:rsidR="0013321B" w:rsidRPr="00B77F75">
        <w:t xml:space="preserve">združeni </w:t>
      </w:r>
      <w:r w:rsidR="004253F4" w:rsidRPr="00B77F75">
        <w:t xml:space="preserve">doktorski </w:t>
      </w:r>
      <w:r w:rsidR="0013321B" w:rsidRPr="00B77F75">
        <w:t xml:space="preserve">studij </w:t>
      </w:r>
      <w:r w:rsidR="004253F4" w:rsidRPr="00B77F75">
        <w:t>«Međunarodni ekonomski odnosi i menadžment»</w:t>
      </w:r>
      <w:r w:rsidR="0013321B" w:rsidRPr="00B77F75">
        <w:t xml:space="preserve">, </w:t>
      </w:r>
      <w:r w:rsidR="00C51C46" w:rsidRPr="00B77F75">
        <w:t>zaokružujući</w:t>
      </w:r>
      <w:r w:rsidR="00472F94" w:rsidRPr="00B77F75">
        <w:t xml:space="preserve"> time</w:t>
      </w:r>
      <w:r w:rsidR="00C51C46" w:rsidRPr="00B77F75">
        <w:t xml:space="preserve"> cjelokupnu vertikalu u sustavu visokog obrazovanja</w:t>
      </w:r>
      <w:r w:rsidR="001A34B3" w:rsidRPr="00B77F75">
        <w:t xml:space="preserve"> u području</w:t>
      </w:r>
      <w:r w:rsidR="004253F4" w:rsidRPr="00B77F75">
        <w:t xml:space="preserve"> društvenih znanosti</w:t>
      </w:r>
      <w:r w:rsidR="00C51C46" w:rsidRPr="00B77F75">
        <w:t xml:space="preserve">. </w:t>
      </w:r>
    </w:p>
    <w:p w:rsidR="002C38FD" w:rsidRPr="00B77F75" w:rsidRDefault="002C38FD" w:rsidP="00AF2D7C">
      <w:pPr>
        <w:autoSpaceDE w:val="0"/>
        <w:spacing w:line="360" w:lineRule="auto"/>
        <w:jc w:val="both"/>
      </w:pPr>
    </w:p>
    <w:p w:rsidR="00C51C46" w:rsidRPr="00B77F75" w:rsidRDefault="00C51C46" w:rsidP="00AF2D7C">
      <w:pPr>
        <w:autoSpaceDE w:val="0"/>
        <w:spacing w:line="360" w:lineRule="auto"/>
        <w:ind w:firstLine="720"/>
        <w:jc w:val="both"/>
      </w:pPr>
      <w:r w:rsidRPr="00B77F75">
        <w:t>Sveučilište provodi i sveučilišne programe cjeloživotnoga obrazovanja koji se mogu integrirati kroz bodovni sustav u sve razine sveučilišnih studija</w:t>
      </w:r>
      <w:r w:rsidR="007A15BA" w:rsidRPr="00B77F75">
        <w:t>, a otvoreni su i polaznicima iz šire javnosti. P</w:t>
      </w:r>
      <w:r w:rsidR="001A34B3" w:rsidRPr="00B77F75">
        <w:t xml:space="preserve">onuda programa cjeloživotnog obrazovanja širi </w:t>
      </w:r>
      <w:r w:rsidR="007A15BA" w:rsidRPr="00B77F75">
        <w:t xml:space="preserve">se </w:t>
      </w:r>
      <w:r w:rsidR="001A34B3" w:rsidRPr="00B77F75">
        <w:t xml:space="preserve">iz područja turizma i stjecanja pedagoških kompetencija, palijativne skrbi, </w:t>
      </w:r>
      <w:r w:rsidR="007A15BA" w:rsidRPr="00B77F75">
        <w:t xml:space="preserve"> ljetnih škola jezika </w:t>
      </w:r>
      <w:r w:rsidR="001A34B3" w:rsidRPr="00B77F75">
        <w:t xml:space="preserve">širi na područje pripreme i provedbe EU projekata, gastronomije, nutricionizma, razne razlikovne programe za upis na višu razinu studija i dr. </w:t>
      </w:r>
      <w:r w:rsidRPr="00B77F75">
        <w:t xml:space="preserve"> Sveučilište uz nastavnu, </w:t>
      </w:r>
      <w:r w:rsidR="009E3C69" w:rsidRPr="00B77F75">
        <w:t xml:space="preserve">uz potporu informatičke, knjižnične i izdavačke djelatnosti, </w:t>
      </w:r>
      <w:r w:rsidRPr="00B77F75">
        <w:t>provodi znanstveno-istraživačku, umjetničku i stručnu djelatnost u suradnji s</w:t>
      </w:r>
      <w:r w:rsidR="0013321B" w:rsidRPr="00B77F75">
        <w:t xml:space="preserve"> partnerima u sustavu znanosti i visokog obrazovanja u zemlji i inozemstvu, </w:t>
      </w:r>
      <w:r w:rsidRPr="00B77F75">
        <w:t xml:space="preserve"> JLP(R)S i gospodarst</w:t>
      </w:r>
      <w:r w:rsidR="00367C03" w:rsidRPr="00B77F75">
        <w:t>venicima</w:t>
      </w:r>
      <w:r w:rsidR="00E41AAF" w:rsidRPr="00B77F75">
        <w:t xml:space="preserve">, osobito kroz sve veći broj projekata financiranih iz EU fondova </w:t>
      </w:r>
      <w:r w:rsidRPr="00B77F75">
        <w:t>te razvija niz programa međunarodne suradnje i mobilnosti</w:t>
      </w:r>
      <w:r w:rsidR="009E3C69" w:rsidRPr="00B77F75">
        <w:t>.</w:t>
      </w:r>
    </w:p>
    <w:p w:rsidR="001D665C" w:rsidRPr="00B77F75" w:rsidRDefault="007A15BA" w:rsidP="00AF2D7C">
      <w:pPr>
        <w:spacing w:line="360" w:lineRule="auto"/>
        <w:ind w:firstLine="720"/>
        <w:jc w:val="both"/>
      </w:pPr>
      <w:r w:rsidRPr="00B77F75">
        <w:t xml:space="preserve">Funkcionalno i institucionalno integrirano </w:t>
      </w:r>
      <w:r w:rsidR="00C51C46" w:rsidRPr="00B77F75">
        <w:t>Sveučiliš</w:t>
      </w:r>
      <w:r w:rsidR="00653415" w:rsidRPr="00B77F75">
        <w:t>te</w:t>
      </w:r>
      <w:r w:rsidR="00C51C46" w:rsidRPr="00B77F75">
        <w:t xml:space="preserve"> u Puli </w:t>
      </w:r>
      <w:r w:rsidR="00653415" w:rsidRPr="00B77F75">
        <w:t xml:space="preserve">čine dvije </w:t>
      </w:r>
      <w:r w:rsidRPr="00B77F75">
        <w:t>sastavnic</w:t>
      </w:r>
      <w:r w:rsidR="00653415" w:rsidRPr="00B77F75">
        <w:t>e</w:t>
      </w:r>
      <w:r w:rsidRPr="00B77F75">
        <w:t xml:space="preserve"> s pravnom osobnošću -</w:t>
      </w:r>
      <w:r w:rsidR="00C51C46" w:rsidRPr="00B77F75">
        <w:t xml:space="preserve"> Studentski centar</w:t>
      </w:r>
      <w:r w:rsidR="00653415" w:rsidRPr="00B77F75">
        <w:t xml:space="preserve"> (SC) </w:t>
      </w:r>
      <w:r w:rsidR="00C51C46" w:rsidRPr="00B77F75">
        <w:t>koji djeluje na ostvarivanju cjelovitosti i potrebnog stupnja studentskoga standarda u sustavu visoke naobrazbe</w:t>
      </w:r>
      <w:r w:rsidRPr="00B77F75">
        <w:t>, s osobitim naglaskom na potrebe studenata s invaliditetom i u nepovoljnom položaju</w:t>
      </w:r>
      <w:r w:rsidR="00653415" w:rsidRPr="00B77F75">
        <w:t xml:space="preserve"> te Evolve Uni Tech </w:t>
      </w:r>
      <w:r w:rsidR="001D665C" w:rsidRPr="00B77F75">
        <w:t xml:space="preserve">d.o.o. </w:t>
      </w:r>
    </w:p>
    <w:p w:rsidR="00C51C46" w:rsidRPr="00B77F75" w:rsidRDefault="00653415" w:rsidP="00AF2D7C">
      <w:pPr>
        <w:spacing w:line="360" w:lineRule="auto"/>
        <w:jc w:val="both"/>
      </w:pPr>
      <w:r w:rsidRPr="00B77F75">
        <w:t>SC je o</w:t>
      </w:r>
      <w:r w:rsidR="00C51C46" w:rsidRPr="00B77F75">
        <w:t xml:space="preserve">snovan je 1. srpnja 2007. godine kao samostalna ustanova </w:t>
      </w:r>
      <w:r w:rsidR="007B406F" w:rsidRPr="00B77F75">
        <w:t xml:space="preserve">te </w:t>
      </w:r>
      <w:r w:rsidR="00C51C46" w:rsidRPr="00B77F75">
        <w:t>odlukom Senata od 1. siječnja 2008. godine, djeluje kao sastavnica u sklopu Sveučilišta Jurja Dobrile u Puli. Prema rješenju Trgovačkog suda u Pazinu, od 30.12.2010.g., Studentski centar Pula</w:t>
      </w:r>
      <w:r w:rsidR="000B444C" w:rsidRPr="00B77F75">
        <w:t xml:space="preserve"> kojem je osnivač pulsko Sveučilište,</w:t>
      </w:r>
      <w:r w:rsidR="00C51C46" w:rsidRPr="00B77F75">
        <w:t xml:space="preserve"> posluje kao samostalna pravna osoba s istim nazivom. Studentski centar upravlja Studentskim domom </w:t>
      </w:r>
      <w:r w:rsidR="00472F94" w:rsidRPr="00B77F75">
        <w:t xml:space="preserve"> s nekoliko paviljona,</w:t>
      </w:r>
      <w:r w:rsidR="00C51C46" w:rsidRPr="00B77F75">
        <w:t xml:space="preserve"> restoranom s pizzeriom</w:t>
      </w:r>
      <w:r w:rsidR="00472F94" w:rsidRPr="00B77F75">
        <w:t xml:space="preserve">. </w:t>
      </w:r>
      <w:r w:rsidR="005660A4" w:rsidRPr="00B77F75">
        <w:t xml:space="preserve">U </w:t>
      </w:r>
      <w:r w:rsidR="00C51C46" w:rsidRPr="00B77F75">
        <w:t xml:space="preserve">sklopu Studentskog centra </w:t>
      </w:r>
      <w:r w:rsidR="005660A4" w:rsidRPr="00B77F75">
        <w:t xml:space="preserve">djeluje studentski servis koji </w:t>
      </w:r>
      <w:r w:rsidR="00C51C46" w:rsidRPr="00B77F75">
        <w:t xml:space="preserve">omogućuje studentima i učenicima završnih razreda srednjih škola privremeno i povremeno zapošljavanje te im tako stečenim prihodima osigurava dodatno poboljšanje  osobnog standarda.  Studentski centar </w:t>
      </w:r>
      <w:r w:rsidR="005660A4" w:rsidRPr="00B77F75">
        <w:t>promiče</w:t>
      </w:r>
      <w:r w:rsidR="00C51C46" w:rsidRPr="00B77F75">
        <w:t xml:space="preserve"> razvoj </w:t>
      </w:r>
      <w:r w:rsidR="005660A4" w:rsidRPr="00B77F75">
        <w:t xml:space="preserve">niza </w:t>
      </w:r>
      <w:r w:rsidR="00C51C46" w:rsidRPr="00B77F75">
        <w:t xml:space="preserve">ostalih studentskih aktivnosti - kulturoloških, istraživačkih, sportskih i zabavnih te podupire </w:t>
      </w:r>
      <w:r w:rsidR="00C51C46" w:rsidRPr="00B77F75">
        <w:lastRenderedPageBreak/>
        <w:t>djelovanje Studentskog zbora u Puli.</w:t>
      </w:r>
      <w:r w:rsidR="001D665C" w:rsidRPr="00B77F75">
        <w:t xml:space="preserve"> </w:t>
      </w:r>
      <w:r w:rsidR="001D665C" w:rsidRPr="00B77F75">
        <w:rPr>
          <w:color w:val="212529"/>
          <w:shd w:val="clear" w:color="auto" w:fill="FFFFFF"/>
        </w:rPr>
        <w:t>Evolve Uni Tech d.o.o. je društvo za poslovno savjetovanje i razvoj inovativnog poduzetništva, osnovano od strane Sveučilišta Juraj Dobrile u Puli, te je njegov jedini vlasnik i osnivac. Društvo djeluje od listopada 2023. godine, sa sjedištem u Zagrebačkoj 30, Pula. Sukladno važećim odredbama Zakona o računovodstvu spada u skupinu mikro poduzetnika, a tip vlasništva je državno. Pretežita djelatnost subjekta je 7022 - Savjetovanje u vezi s poslovanjem i ostalim upravljanjem (M - STRUČNE, ZNANSTVENE I TEHNIČKE DJELATNOSTI).</w:t>
      </w:r>
    </w:p>
    <w:p w:rsidR="00C3058C" w:rsidRPr="00B77F75" w:rsidRDefault="003A77CD" w:rsidP="00AF2D7C">
      <w:pPr>
        <w:pStyle w:val="NormalWeb"/>
        <w:spacing w:before="0" w:beforeAutospacing="0" w:after="0" w:afterAutospacing="0" w:line="360" w:lineRule="auto"/>
        <w:ind w:firstLine="708"/>
        <w:jc w:val="both"/>
        <w:rPr>
          <w:rFonts w:ascii="Times New Roman" w:eastAsia="Times New Roman" w:hAnsi="Times New Roman"/>
          <w:sz w:val="24"/>
          <w:szCs w:val="24"/>
          <w:lang w:val="hr-HR" w:eastAsia="en-GB"/>
        </w:rPr>
      </w:pPr>
      <w:r w:rsidRPr="00B77F75">
        <w:rPr>
          <w:rFonts w:ascii="Times New Roman" w:hAnsi="Times New Roman"/>
          <w:sz w:val="24"/>
          <w:lang w:val="hr-HR"/>
        </w:rPr>
        <w:t xml:space="preserve">Prema </w:t>
      </w:r>
      <w:r w:rsidR="00C51C46" w:rsidRPr="00B77F75">
        <w:rPr>
          <w:rFonts w:ascii="Times New Roman" w:hAnsi="Times New Roman"/>
          <w:sz w:val="24"/>
          <w:lang w:val="hr-HR"/>
        </w:rPr>
        <w:t>Strategij</w:t>
      </w:r>
      <w:r w:rsidRPr="00B77F75">
        <w:rPr>
          <w:rFonts w:ascii="Times New Roman" w:hAnsi="Times New Roman"/>
          <w:sz w:val="24"/>
          <w:lang w:val="hr-HR"/>
        </w:rPr>
        <w:t>i</w:t>
      </w:r>
      <w:r w:rsidR="00C51C46" w:rsidRPr="00B77F75">
        <w:rPr>
          <w:rFonts w:ascii="Times New Roman" w:hAnsi="Times New Roman"/>
          <w:sz w:val="24"/>
          <w:lang w:val="hr-HR"/>
        </w:rPr>
        <w:t xml:space="preserve"> razvoja Sveučilišta Jurja Dobrile u Puli 20</w:t>
      </w:r>
      <w:r w:rsidR="00E0459C" w:rsidRPr="00B77F75">
        <w:rPr>
          <w:rFonts w:ascii="Times New Roman" w:hAnsi="Times New Roman"/>
          <w:sz w:val="24"/>
          <w:lang w:val="hr-HR"/>
        </w:rPr>
        <w:t>21</w:t>
      </w:r>
      <w:r w:rsidR="00C51C46" w:rsidRPr="00B77F75">
        <w:rPr>
          <w:rFonts w:ascii="Times New Roman" w:hAnsi="Times New Roman"/>
          <w:sz w:val="24"/>
          <w:lang w:val="hr-HR"/>
        </w:rPr>
        <w:t>.-</w:t>
      </w:r>
      <w:r w:rsidR="00B77F75" w:rsidRPr="00B77F75">
        <w:rPr>
          <w:rFonts w:ascii="Times New Roman" w:hAnsi="Times New Roman"/>
          <w:sz w:val="24"/>
          <w:lang w:val="hr-HR"/>
        </w:rPr>
        <w:t xml:space="preserve"> </w:t>
      </w:r>
      <w:r w:rsidR="00C51C46" w:rsidRPr="00B77F75">
        <w:rPr>
          <w:rFonts w:ascii="Times New Roman" w:hAnsi="Times New Roman"/>
          <w:sz w:val="24"/>
          <w:lang w:val="hr-HR"/>
        </w:rPr>
        <w:t>202</w:t>
      </w:r>
      <w:r w:rsidR="008F14F0" w:rsidRPr="00B77F75">
        <w:rPr>
          <w:rFonts w:ascii="Times New Roman" w:hAnsi="Times New Roman"/>
          <w:sz w:val="24"/>
          <w:lang w:val="hr-HR"/>
        </w:rPr>
        <w:t>6</w:t>
      </w:r>
      <w:r w:rsidR="00C51C46" w:rsidRPr="00B77F75">
        <w:rPr>
          <w:rFonts w:ascii="Times New Roman" w:hAnsi="Times New Roman"/>
          <w:sz w:val="24"/>
          <w:lang w:val="hr-HR"/>
        </w:rPr>
        <w:t>.</w:t>
      </w:r>
      <w:r w:rsidRPr="00B77F75">
        <w:rPr>
          <w:rFonts w:ascii="Times New Roman" w:hAnsi="Times New Roman"/>
          <w:sz w:val="24"/>
          <w:lang w:val="hr-HR"/>
        </w:rPr>
        <w:t>, m</w:t>
      </w:r>
      <w:r w:rsidRPr="00B77F75">
        <w:rPr>
          <w:rFonts w:ascii="Times New Roman" w:eastAsia="Times New Roman" w:hAnsi="Times New Roman"/>
          <w:sz w:val="24"/>
          <w:szCs w:val="24"/>
          <w:lang w:val="hr-HR" w:eastAsia="en-GB"/>
        </w:rPr>
        <w:t xml:space="preserve">isao vodilja u narednom razdoblju jest evolucija Sveučilišta „kroz institucionalizaciju i digitalizaciju prema istraživačkom, kreativnom i poduzetničkom Sveučilištu, prema eObrazovanju, digitalnoj, adaptabilnoj, inkluzivnoj instituciji i centrima znanstvene izvrsnosti. Riječ je o holističkom pristupu koji implicira ujednačen razvoj svih sastavnica i područja znanosti - STEAM-a. Ideja je integracija i koordinacija čiji je krajnji cilj manje administracije, a više kreativnih procesa i stvaranja dodane vrijednosti. </w:t>
      </w:r>
    </w:p>
    <w:p w:rsidR="002C38FD" w:rsidRPr="00B77F75" w:rsidRDefault="002C38FD" w:rsidP="00AF2D7C">
      <w:pPr>
        <w:pStyle w:val="NormalWeb"/>
        <w:spacing w:before="0" w:beforeAutospacing="0" w:after="0" w:afterAutospacing="0" w:line="360" w:lineRule="auto"/>
        <w:ind w:firstLine="708"/>
        <w:jc w:val="both"/>
        <w:rPr>
          <w:rFonts w:ascii="Times New Roman" w:hAnsi="Times New Roman"/>
          <w:sz w:val="24"/>
          <w:szCs w:val="24"/>
          <w:lang w:val="hr-HR"/>
        </w:rPr>
      </w:pPr>
      <w:r w:rsidRPr="00B77F75">
        <w:rPr>
          <w:rFonts w:ascii="Times New Roman" w:hAnsi="Times New Roman"/>
          <w:sz w:val="24"/>
          <w:szCs w:val="24"/>
          <w:lang w:val="hr-HR"/>
        </w:rPr>
        <w:t xml:space="preserve">Vizija poduzetničkog Sveučilišta temelji se na integraciji znanstvene izvrsnosti s poduzetničkim duhom, stvarajući institucionalni okvir koji potiče inovacije, razvoj i transfer </w:t>
      </w:r>
      <w:r w:rsidR="00AF2D7C" w:rsidRPr="00B77F75">
        <w:rPr>
          <w:rFonts w:ascii="Times New Roman" w:hAnsi="Times New Roman"/>
          <w:sz w:val="24"/>
          <w:szCs w:val="24"/>
          <w:lang w:val="hr-HR"/>
        </w:rPr>
        <w:t xml:space="preserve">znanja i </w:t>
      </w:r>
      <w:r w:rsidRPr="00B77F75">
        <w:rPr>
          <w:rFonts w:ascii="Times New Roman" w:hAnsi="Times New Roman"/>
          <w:sz w:val="24"/>
          <w:szCs w:val="24"/>
          <w:lang w:val="hr-HR"/>
        </w:rPr>
        <w:t xml:space="preserve">tehnologije. Sveučilište </w:t>
      </w:r>
      <w:r w:rsidR="00AF2D7C" w:rsidRPr="00B77F75">
        <w:rPr>
          <w:rFonts w:ascii="Times New Roman" w:hAnsi="Times New Roman"/>
          <w:sz w:val="24"/>
          <w:szCs w:val="24"/>
          <w:lang w:val="hr-HR"/>
        </w:rPr>
        <w:t>teži postati</w:t>
      </w:r>
      <w:r w:rsidRPr="00B77F75">
        <w:rPr>
          <w:rFonts w:ascii="Times New Roman" w:hAnsi="Times New Roman"/>
          <w:sz w:val="24"/>
          <w:szCs w:val="24"/>
          <w:lang w:val="hr-HR"/>
        </w:rPr>
        <w:t xml:space="preserve"> znanstveni centar izvrsnosti, mjesto gdje se provode visokokvalitetna istraživanja koja odgovaraju na izazove suvremenog društva, a istovremeno </w:t>
      </w:r>
      <w:r w:rsidR="00AF2D7C" w:rsidRPr="00B77F75">
        <w:rPr>
          <w:rFonts w:ascii="Times New Roman" w:hAnsi="Times New Roman"/>
          <w:sz w:val="24"/>
          <w:szCs w:val="24"/>
          <w:lang w:val="hr-HR"/>
        </w:rPr>
        <w:t>funkcionirati</w:t>
      </w:r>
      <w:r w:rsidRPr="00B77F75">
        <w:rPr>
          <w:rFonts w:ascii="Times New Roman" w:hAnsi="Times New Roman"/>
          <w:sz w:val="24"/>
          <w:szCs w:val="24"/>
          <w:lang w:val="hr-HR"/>
        </w:rPr>
        <w:t xml:space="preserve"> kao poduzetnički centar izvrsnosti. To znači da sveučilište, uz razvoj naprednih znanstvenih disciplina, mora poticati poduzetničke inicijative i inovacije u svim područjima upravljanja i djelovanja, od nastave do istraživanja i suradnje s industrijom. Razvijanje</w:t>
      </w:r>
      <w:r w:rsidR="00AF2D7C" w:rsidRPr="00B77F75">
        <w:rPr>
          <w:rFonts w:ascii="Times New Roman" w:hAnsi="Times New Roman"/>
          <w:sz w:val="24"/>
          <w:szCs w:val="24"/>
          <w:lang w:val="hr-HR"/>
        </w:rPr>
        <w:t xml:space="preserve">m </w:t>
      </w:r>
      <w:r w:rsidRPr="00B77F75">
        <w:rPr>
          <w:rFonts w:ascii="Times New Roman" w:hAnsi="Times New Roman"/>
          <w:sz w:val="24"/>
          <w:szCs w:val="24"/>
          <w:lang w:val="hr-HR"/>
        </w:rPr>
        <w:t>poduzetničkog mindseta među studentima, profesorima i istraživačima, doprinosi</w:t>
      </w:r>
      <w:r w:rsidR="00AF2D7C" w:rsidRPr="00B77F75">
        <w:rPr>
          <w:rFonts w:ascii="Times New Roman" w:hAnsi="Times New Roman"/>
          <w:sz w:val="24"/>
          <w:szCs w:val="24"/>
          <w:lang w:val="hr-HR"/>
        </w:rPr>
        <w:t xml:space="preserve"> ne samo </w:t>
      </w:r>
      <w:r w:rsidRPr="00B77F75">
        <w:rPr>
          <w:rFonts w:ascii="Times New Roman" w:hAnsi="Times New Roman"/>
          <w:sz w:val="24"/>
          <w:szCs w:val="24"/>
          <w:lang w:val="hr-HR"/>
        </w:rPr>
        <w:t>akademskom napretku, već i stvaranju novih poslovnih prilika, novih start-upova i ekonomske vrijednosti, čim</w:t>
      </w:r>
      <w:r w:rsidR="00AF2D7C" w:rsidRPr="00B77F75">
        <w:rPr>
          <w:rFonts w:ascii="Times New Roman" w:hAnsi="Times New Roman"/>
          <w:sz w:val="24"/>
          <w:szCs w:val="24"/>
          <w:lang w:val="hr-HR"/>
        </w:rPr>
        <w:t>e Sveučilište</w:t>
      </w:r>
      <w:r w:rsidRPr="00B77F75">
        <w:rPr>
          <w:rFonts w:ascii="Times New Roman" w:hAnsi="Times New Roman"/>
          <w:sz w:val="24"/>
          <w:szCs w:val="24"/>
          <w:lang w:val="hr-HR"/>
        </w:rPr>
        <w:t xml:space="preserve"> postaje ključni faktor u regionalnom i globalnom razvoju.</w:t>
      </w:r>
    </w:p>
    <w:p w:rsidR="00F75578" w:rsidRPr="00B77F75" w:rsidRDefault="00F75578" w:rsidP="00C51C46">
      <w:pPr>
        <w:spacing w:line="360" w:lineRule="auto"/>
        <w:ind w:firstLine="720"/>
        <w:jc w:val="both"/>
      </w:pPr>
    </w:p>
    <w:p w:rsidR="00AF2D7C" w:rsidRDefault="00AF2D7C" w:rsidP="00C51C46">
      <w:pPr>
        <w:spacing w:line="360" w:lineRule="auto"/>
        <w:ind w:firstLine="720"/>
        <w:jc w:val="both"/>
      </w:pPr>
    </w:p>
    <w:p w:rsidR="0025502B" w:rsidRPr="00B77F75" w:rsidRDefault="0025502B" w:rsidP="00C51C46">
      <w:pPr>
        <w:spacing w:line="360" w:lineRule="auto"/>
        <w:ind w:firstLine="720"/>
        <w:jc w:val="both"/>
      </w:pPr>
    </w:p>
    <w:p w:rsidR="00C51C46" w:rsidRPr="00B77F75" w:rsidRDefault="00C51C46" w:rsidP="00C51C46">
      <w:pPr>
        <w:rPr>
          <w:b/>
          <w:sz w:val="28"/>
        </w:rPr>
      </w:pPr>
      <w:r w:rsidRPr="00B77F75">
        <w:rPr>
          <w:b/>
          <w:sz w:val="28"/>
        </w:rPr>
        <w:t xml:space="preserve">Šifra i naziv aktivnosti/ projekta </w:t>
      </w:r>
    </w:p>
    <w:p w:rsidR="00C51C46" w:rsidRPr="00B77F75" w:rsidRDefault="00C51C46" w:rsidP="00C51C46"/>
    <w:p w:rsidR="000B159F" w:rsidRPr="00AF0937" w:rsidRDefault="000B159F" w:rsidP="000B159F">
      <w:pPr>
        <w:pBdr>
          <w:top w:val="dotted" w:sz="4" w:space="1" w:color="808080" w:themeColor="background1" w:themeShade="80"/>
          <w:bottom w:val="dotted" w:sz="4" w:space="1" w:color="808080" w:themeColor="background1" w:themeShade="80"/>
        </w:pBdr>
        <w:shd w:val="clear" w:color="auto" w:fill="D0CECE" w:themeFill="background2" w:themeFillShade="E6"/>
        <w:jc w:val="both"/>
        <w:rPr>
          <w:b/>
          <w:sz w:val="28"/>
          <w:szCs w:val="28"/>
        </w:rPr>
      </w:pPr>
      <w:r w:rsidRPr="00AF0937">
        <w:rPr>
          <w:sz w:val="28"/>
          <w:szCs w:val="28"/>
        </w:rPr>
        <w:t>A679134 - PROGRAMSKO FINANCIRANJE JAVNIH VISOKIH UČILIŠTA 2025. - 2029.</w:t>
      </w:r>
    </w:p>
    <w:p w:rsidR="00C51C46" w:rsidRPr="00B77F75" w:rsidRDefault="00C51C46" w:rsidP="00C51C46">
      <w:pPr>
        <w:jc w:val="both"/>
        <w:rPr>
          <w:i/>
        </w:rPr>
      </w:pPr>
    </w:p>
    <w:p w:rsidR="00C51C46" w:rsidRPr="00B77F75" w:rsidRDefault="00C51C46" w:rsidP="00C51C46">
      <w:pPr>
        <w:jc w:val="both"/>
        <w:rPr>
          <w:i/>
        </w:rPr>
      </w:pPr>
      <w:r w:rsidRPr="00B77F75">
        <w:rPr>
          <w:i/>
        </w:rPr>
        <w:t>Zakonske i druge pravne osnove</w:t>
      </w:r>
    </w:p>
    <w:p w:rsidR="00DD1ECF" w:rsidRDefault="00DD1ECF" w:rsidP="00DD1ECF">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visokom obrazovanju i znanstvenoj djelatnosti (NN 119/22)</w:t>
      </w:r>
    </w:p>
    <w:p w:rsidR="00DD1ECF" w:rsidRPr="00DD1ECF" w:rsidRDefault="00DD1ECF" w:rsidP="00DD1ECF">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osiguravanju kvalitete u visokom obrazovanju i znanosti (NN 151/22)</w:t>
      </w:r>
    </w:p>
    <w:p w:rsidR="00DD1ECF" w:rsidRDefault="00DD1ECF" w:rsidP="00860A6E">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lastRenderedPageBreak/>
        <w:t>Zakon o</w:t>
      </w:r>
      <w:r>
        <w:rPr>
          <w:rFonts w:ascii="Times New Roman" w:eastAsia="Times New Roman" w:hAnsi="Times New Roman" w:cs="Times New Roman"/>
          <w:sz w:val="24"/>
          <w:szCs w:val="24"/>
          <w:lang w:eastAsia="en-GB"/>
        </w:rPr>
        <w:t xml:space="preserve"> </w:t>
      </w:r>
      <w:r w:rsidRPr="00DD1ECF">
        <w:rPr>
          <w:rFonts w:ascii="Times New Roman" w:eastAsia="Times New Roman" w:hAnsi="Times New Roman" w:cs="Times New Roman"/>
          <w:sz w:val="24"/>
          <w:szCs w:val="24"/>
          <w:lang w:eastAsia="en-GB"/>
        </w:rPr>
        <w:t>Hrvatskom kvalifikacijskom okviru</w:t>
      </w:r>
      <w:r>
        <w:rPr>
          <w:rFonts w:ascii="Times New Roman" w:eastAsia="Times New Roman" w:hAnsi="Times New Roman" w:cs="Times New Roman"/>
          <w:sz w:val="24"/>
          <w:szCs w:val="24"/>
          <w:lang w:eastAsia="en-GB"/>
        </w:rPr>
        <w:t xml:space="preserve"> (NN22/13, 64/18 i 20/21)</w:t>
      </w:r>
    </w:p>
    <w:p w:rsidR="00DD1ECF" w:rsidRPr="00753F41" w:rsidRDefault="00DD1ECF" w:rsidP="00753F41">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Nacionalni plan razvoja sustava obrazovanja za razdoblje do 2027. godine</w:t>
      </w:r>
    </w:p>
    <w:p w:rsidR="00DD1ECF" w:rsidRPr="00753F41" w:rsidRDefault="00DD1ECF" w:rsidP="00753F41">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Plan razvoja obrazovanja Istarske županije do 2030.godine</w:t>
      </w:r>
    </w:p>
    <w:p w:rsidR="00DD1ECF" w:rsidRPr="00753F41" w:rsidRDefault="00DD1ECF" w:rsidP="00DD1ECF">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Strategija razvoja urbanog područja Pula 2021-2027.</w:t>
      </w:r>
    </w:p>
    <w:p w:rsidR="00DD1ECF" w:rsidRPr="00753F41" w:rsidRDefault="00DD1ECF" w:rsidP="00753F41">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Zakon o studentskom zboru i drugim studentskim organizacijama </w:t>
      </w:r>
      <w:r w:rsidRPr="00753F41">
        <w:t>NN 71/07</w:t>
      </w:r>
    </w:p>
    <w:p w:rsidR="00DD1ECF" w:rsidRDefault="00DD1ECF" w:rsidP="00DD1EC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Zakon o plaćama u državnoj službi i javnim službama NN 155/23</w:t>
      </w:r>
    </w:p>
    <w:p w:rsidR="00753F41" w:rsidRPr="00753F41" w:rsidRDefault="00753F41" w:rsidP="00753F41">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 xml:space="preserve">Uredba o nazivima radnih mjesta i koeficijentima složenosti poslova u javnim službama od 22.02.2024 </w:t>
      </w:r>
    </w:p>
    <w:p w:rsidR="00DD1ECF" w:rsidRDefault="00607010" w:rsidP="00DD1EC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Kolektivni ugovor za znanost i visoko obrazovanje od 27.12.2018, i dodatak I od 26.03.2020.</w:t>
      </w:r>
    </w:p>
    <w:p w:rsidR="00607010" w:rsidRDefault="00607010" w:rsidP="00DD1EC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Temeljni kolektivni ugovor za zaposlenike u javnim službama od 01.03.2024.</w:t>
      </w:r>
    </w:p>
    <w:p w:rsidR="00201A55" w:rsidRDefault="00201A55" w:rsidP="00DD1EC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Uredba o programskom financiranju javnih visokih učilišta i javnih znanstvenih instituta u Republici Hrvatskoj</w:t>
      </w:r>
      <w:r w:rsidRPr="00201A55">
        <w:rPr>
          <w:rFonts w:ascii="Times New Roman" w:eastAsia="Times New Roman" w:hAnsi="Times New Roman" w:cs="Times New Roman"/>
          <w:sz w:val="24"/>
          <w:szCs w:val="24"/>
          <w:lang w:eastAsia="en-GB"/>
        </w:rPr>
        <w:t xml:space="preserve">  NN 78/2023</w:t>
      </w:r>
    </w:p>
    <w:p w:rsidR="00C51C46" w:rsidRPr="00A6677E" w:rsidRDefault="00A6677E" w:rsidP="00860A6E">
      <w:pPr>
        <w:pStyle w:val="ListParagraph"/>
        <w:numPr>
          <w:ilvl w:val="0"/>
          <w:numId w:val="8"/>
        </w:numPr>
        <w:jc w:val="both"/>
        <w:rPr>
          <w:iCs/>
          <w:lang w:bidi="ta-IN"/>
        </w:rPr>
      </w:pPr>
      <w:r w:rsidRPr="00A6677E">
        <w:rPr>
          <w:rFonts w:ascii="Times New Roman" w:eastAsia="Times New Roman" w:hAnsi="Times New Roman" w:cs="Times New Roman"/>
          <w:sz w:val="24"/>
          <w:szCs w:val="24"/>
          <w:lang w:eastAsia="en-GB"/>
        </w:rPr>
        <w:t xml:space="preserve">Strategija razvoja karijera za istraživače Sveučilišta Jurja Dobrile u Puli (2024.-2028.) </w:t>
      </w:r>
    </w:p>
    <w:p w:rsidR="00A6677E" w:rsidRDefault="00A6677E" w:rsidP="00860A6E">
      <w:pPr>
        <w:pStyle w:val="ListParagraph"/>
        <w:numPr>
          <w:ilvl w:val="0"/>
          <w:numId w:val="8"/>
        </w:numPr>
        <w:jc w:val="both"/>
        <w:rPr>
          <w:iCs/>
          <w:lang w:bidi="ta-IN"/>
        </w:rPr>
      </w:pPr>
      <w:r w:rsidRPr="00A6677E">
        <w:rPr>
          <w:iCs/>
          <w:lang w:bidi="ta-IN"/>
        </w:rPr>
        <w:t>Istraživačka umjetnička strategija Sveučilišta Jurja Dobrile u Puli (2022.-2026.)</w:t>
      </w:r>
    </w:p>
    <w:p w:rsidR="00A6677E" w:rsidRDefault="00A6677E" w:rsidP="00860A6E">
      <w:pPr>
        <w:pStyle w:val="ListParagraph"/>
        <w:numPr>
          <w:ilvl w:val="0"/>
          <w:numId w:val="8"/>
        </w:numPr>
        <w:jc w:val="both"/>
        <w:rPr>
          <w:iCs/>
          <w:lang w:bidi="ta-IN"/>
        </w:rPr>
      </w:pPr>
      <w:r w:rsidRPr="00A6677E">
        <w:rPr>
          <w:iCs/>
          <w:lang w:bidi="ta-IN"/>
        </w:rPr>
        <w:t>Strategija razvoja Sveučilišta Jurja Dobrile u Puli (2021-2026)</w:t>
      </w:r>
    </w:p>
    <w:p w:rsidR="00A6677E" w:rsidRDefault="00A6677E" w:rsidP="00860A6E">
      <w:pPr>
        <w:pStyle w:val="ListParagraph"/>
        <w:numPr>
          <w:ilvl w:val="0"/>
          <w:numId w:val="8"/>
        </w:numPr>
        <w:jc w:val="both"/>
        <w:rPr>
          <w:iCs/>
          <w:lang w:bidi="ta-IN"/>
        </w:rPr>
      </w:pPr>
      <w:r w:rsidRPr="00A6677E">
        <w:rPr>
          <w:iCs/>
          <w:lang w:bidi="ta-IN"/>
        </w:rPr>
        <w:t>Istraživačka strategija Sveučilišta Jurja Dobrile u Puli (2021.-2026.)</w:t>
      </w:r>
    </w:p>
    <w:p w:rsidR="00A6677E" w:rsidRPr="00A6677E" w:rsidRDefault="00A6677E" w:rsidP="00A6677E">
      <w:pPr>
        <w:pStyle w:val="ListParagraph"/>
        <w:numPr>
          <w:ilvl w:val="0"/>
          <w:numId w:val="8"/>
        </w:numPr>
        <w:rPr>
          <w:iCs/>
          <w:lang w:bidi="ta-IN"/>
        </w:rPr>
      </w:pPr>
      <w:r w:rsidRPr="00A6677E">
        <w:rPr>
          <w:iCs/>
          <w:lang w:bidi="ta-IN"/>
        </w:rPr>
        <w:t xml:space="preserve">Pravilnik o Sustavu osiguravanja i unaprjeđivanja kvalitete (1.3.2013.) </w:t>
      </w:r>
    </w:p>
    <w:p w:rsidR="00A6677E" w:rsidRDefault="00A6677E" w:rsidP="00860A6E">
      <w:pPr>
        <w:pStyle w:val="ListParagraph"/>
        <w:numPr>
          <w:ilvl w:val="0"/>
          <w:numId w:val="8"/>
        </w:numPr>
        <w:jc w:val="both"/>
        <w:rPr>
          <w:iCs/>
          <w:lang w:bidi="ta-IN"/>
        </w:rPr>
      </w:pPr>
      <w:r w:rsidRPr="00A6677E">
        <w:rPr>
          <w:iCs/>
          <w:lang w:bidi="ta-IN"/>
        </w:rPr>
        <w:t>Pravilnik o izmjenama i dopunama Pravilnika o sustavu osiguravanja kvalitete Sveučilišta Jurja Dobrile u Puli (30.11.2015</w:t>
      </w:r>
      <w:r>
        <w:rPr>
          <w:iCs/>
          <w:lang w:bidi="ta-IN"/>
        </w:rPr>
        <w:t>)</w:t>
      </w:r>
    </w:p>
    <w:p w:rsidR="00A6677E" w:rsidRDefault="00A6677E" w:rsidP="00860A6E">
      <w:pPr>
        <w:pStyle w:val="ListParagraph"/>
        <w:numPr>
          <w:ilvl w:val="0"/>
          <w:numId w:val="8"/>
        </w:numPr>
        <w:jc w:val="both"/>
        <w:rPr>
          <w:iCs/>
          <w:lang w:bidi="ta-IN"/>
        </w:rPr>
      </w:pPr>
      <w:r w:rsidRPr="00A6677E">
        <w:rPr>
          <w:iCs/>
          <w:lang w:bidi="ta-IN"/>
        </w:rPr>
        <w:t>Pravilnik o izmjenama pravilnika o sustavu osiguravanja i unaprjeđenja kvalitete na Sveučilištu Jurja Dobrile u Puli (20.12.2024.)</w:t>
      </w:r>
    </w:p>
    <w:p w:rsidR="00A6677E" w:rsidRPr="00A6677E" w:rsidRDefault="00A6677E" w:rsidP="00A6677E">
      <w:pPr>
        <w:pStyle w:val="ListParagraph"/>
        <w:numPr>
          <w:ilvl w:val="0"/>
          <w:numId w:val="8"/>
        </w:numPr>
        <w:jc w:val="both"/>
        <w:rPr>
          <w:iCs/>
          <w:lang w:bidi="ta-IN"/>
        </w:rPr>
      </w:pPr>
      <w:r w:rsidRPr="00A6677E">
        <w:rPr>
          <w:iCs/>
          <w:lang w:bidi="ta-IN"/>
        </w:rPr>
        <w:t>Zakon o javnoj nabavi 120/16, 114/22</w:t>
      </w:r>
    </w:p>
    <w:p w:rsidR="00A6677E" w:rsidRDefault="00A6677E" w:rsidP="00A6677E">
      <w:pPr>
        <w:pStyle w:val="ListParagraph"/>
        <w:numPr>
          <w:ilvl w:val="0"/>
          <w:numId w:val="8"/>
        </w:numPr>
        <w:jc w:val="both"/>
        <w:rPr>
          <w:iCs/>
          <w:lang w:bidi="ta-IN"/>
        </w:rPr>
      </w:pPr>
      <w:r w:rsidRPr="00A6677E">
        <w:rPr>
          <w:iCs/>
          <w:lang w:bidi="ta-IN"/>
        </w:rPr>
        <w:t xml:space="preserve">Pravilnik za provedbu postupaka jednostavne nabave 24.01.2023. [322,08 </w:t>
      </w:r>
      <w:proofErr w:type="spellStart"/>
      <w:r w:rsidRPr="00A6677E">
        <w:rPr>
          <w:iCs/>
          <w:lang w:bidi="ta-IN"/>
        </w:rPr>
        <w:t>KiB</w:t>
      </w:r>
      <w:proofErr w:type="spellEnd"/>
      <w:r w:rsidRPr="00A6677E">
        <w:rPr>
          <w:iCs/>
          <w:lang w:bidi="ta-IN"/>
        </w:rPr>
        <w:t>]</w:t>
      </w:r>
    </w:p>
    <w:p w:rsidR="00A6677E" w:rsidRDefault="00A6677E" w:rsidP="00A6677E">
      <w:pPr>
        <w:pStyle w:val="ListParagraph"/>
        <w:numPr>
          <w:ilvl w:val="0"/>
          <w:numId w:val="8"/>
        </w:numPr>
      </w:pPr>
      <w:r>
        <w:t>Nacionalni plan oporavka i otpornosti 2021-2026. NN 78/21</w:t>
      </w:r>
    </w:p>
    <w:p w:rsidR="00753F41" w:rsidRPr="00B77F75" w:rsidRDefault="00753F41" w:rsidP="00C51C46">
      <w:pPr>
        <w:jc w:val="both"/>
        <w:rPr>
          <w:iCs/>
          <w:rtl/>
          <w:cs/>
          <w:lang w:bidi="ta-IN"/>
        </w:rPr>
      </w:pPr>
    </w:p>
    <w:tbl>
      <w:tblPr>
        <w:tblStyle w:val="TableGrid"/>
        <w:tblW w:w="0" w:type="auto"/>
        <w:tblLook w:val="04A0" w:firstRow="1" w:lastRow="0" w:firstColumn="1" w:lastColumn="0" w:noHBand="0" w:noVBand="1"/>
      </w:tblPr>
      <w:tblGrid>
        <w:gridCol w:w="1650"/>
        <w:gridCol w:w="1296"/>
        <w:gridCol w:w="1296"/>
        <w:gridCol w:w="1296"/>
        <w:gridCol w:w="1296"/>
        <w:gridCol w:w="1296"/>
        <w:gridCol w:w="932"/>
      </w:tblGrid>
      <w:tr w:rsidR="003E2361" w:rsidRPr="00B77F75" w:rsidTr="002579AE">
        <w:tc>
          <w:tcPr>
            <w:tcW w:w="1632" w:type="dxa"/>
            <w:shd w:val="clear" w:color="auto" w:fill="D0CECE" w:themeFill="background2" w:themeFillShade="E6"/>
          </w:tcPr>
          <w:p w:rsidR="00C51C46" w:rsidRPr="00B77F75" w:rsidRDefault="00C51C46" w:rsidP="00C51C46">
            <w:pPr>
              <w:jc w:val="both"/>
            </w:pPr>
            <w:bookmarkStart w:id="0" w:name="_Hlk115175384"/>
          </w:p>
          <w:p w:rsidR="00C51C46" w:rsidRPr="00B77F75" w:rsidRDefault="00C51C46" w:rsidP="00C51C46">
            <w:pPr>
              <w:jc w:val="both"/>
            </w:pPr>
          </w:p>
        </w:tc>
        <w:tc>
          <w:tcPr>
            <w:tcW w:w="1248" w:type="dxa"/>
            <w:shd w:val="clear" w:color="auto" w:fill="D0CECE" w:themeFill="background2" w:themeFillShade="E6"/>
            <w:vAlign w:val="center"/>
          </w:tcPr>
          <w:p w:rsidR="00C51C46" w:rsidRPr="00B77F75" w:rsidRDefault="00C51C46" w:rsidP="00C51C46">
            <w:pPr>
              <w:jc w:val="center"/>
            </w:pPr>
            <w:r w:rsidRPr="00B77F75">
              <w:t>Izvršenje 20</w:t>
            </w:r>
            <w:r w:rsidR="007A52B3" w:rsidRPr="00B77F75">
              <w:t>2</w:t>
            </w:r>
            <w:r w:rsidR="00E24EC5">
              <w:t>4</w:t>
            </w:r>
            <w:r w:rsidRPr="00B77F75">
              <w:t>.</w:t>
            </w:r>
          </w:p>
        </w:tc>
        <w:tc>
          <w:tcPr>
            <w:tcW w:w="1248" w:type="dxa"/>
            <w:shd w:val="clear" w:color="auto" w:fill="D0CECE" w:themeFill="background2" w:themeFillShade="E6"/>
            <w:vAlign w:val="center"/>
          </w:tcPr>
          <w:p w:rsidR="00C51C46" w:rsidRPr="00B77F75" w:rsidRDefault="00C51C46" w:rsidP="00C51C46">
            <w:pPr>
              <w:jc w:val="center"/>
            </w:pPr>
            <w:r w:rsidRPr="00B77F75">
              <w:t>Plan 20</w:t>
            </w:r>
            <w:r w:rsidR="009D1474" w:rsidRPr="00B77F75">
              <w:t>2</w:t>
            </w:r>
            <w:r w:rsidR="00E24EC5">
              <w:t>5</w:t>
            </w:r>
            <w:r w:rsidRPr="00B77F75">
              <w:t>.</w:t>
            </w:r>
          </w:p>
        </w:tc>
        <w:tc>
          <w:tcPr>
            <w:tcW w:w="1248" w:type="dxa"/>
            <w:shd w:val="clear" w:color="auto" w:fill="D0CECE" w:themeFill="background2" w:themeFillShade="E6"/>
            <w:vAlign w:val="center"/>
          </w:tcPr>
          <w:p w:rsidR="00C51C46" w:rsidRPr="00B77F75" w:rsidRDefault="00C51C46" w:rsidP="00C51C46">
            <w:pPr>
              <w:jc w:val="center"/>
            </w:pPr>
            <w:r w:rsidRPr="00B77F75">
              <w:t>Plan 202</w:t>
            </w:r>
            <w:r w:rsidR="00E24EC5">
              <w:t>6</w:t>
            </w:r>
            <w:r w:rsidRPr="00B77F75">
              <w:t>.</w:t>
            </w:r>
          </w:p>
        </w:tc>
        <w:tc>
          <w:tcPr>
            <w:tcW w:w="1275" w:type="dxa"/>
            <w:shd w:val="clear" w:color="auto" w:fill="D0CECE" w:themeFill="background2" w:themeFillShade="E6"/>
            <w:vAlign w:val="center"/>
          </w:tcPr>
          <w:p w:rsidR="00C51C46" w:rsidRPr="00B77F75" w:rsidRDefault="00C51C46" w:rsidP="00C51C46">
            <w:pPr>
              <w:jc w:val="center"/>
            </w:pPr>
            <w:r w:rsidRPr="00B77F75">
              <w:t>Plan 202</w:t>
            </w:r>
            <w:r w:rsidR="00E24EC5">
              <w:t>7</w:t>
            </w:r>
            <w:r w:rsidRPr="00B77F75">
              <w:t>.</w:t>
            </w:r>
          </w:p>
        </w:tc>
        <w:tc>
          <w:tcPr>
            <w:tcW w:w="1275" w:type="dxa"/>
            <w:shd w:val="clear" w:color="auto" w:fill="D0CECE" w:themeFill="background2" w:themeFillShade="E6"/>
            <w:vAlign w:val="center"/>
          </w:tcPr>
          <w:p w:rsidR="00C51C46" w:rsidRPr="00FA6FD6" w:rsidRDefault="00C51C46" w:rsidP="00C51C46">
            <w:pPr>
              <w:jc w:val="center"/>
            </w:pPr>
            <w:r w:rsidRPr="00FA6FD6">
              <w:t>Plan 202</w:t>
            </w:r>
            <w:r w:rsidR="00E24EC5" w:rsidRPr="00FA6FD6">
              <w:t>8</w:t>
            </w:r>
            <w:r w:rsidRPr="00FA6FD6">
              <w:t>.</w:t>
            </w:r>
          </w:p>
        </w:tc>
        <w:tc>
          <w:tcPr>
            <w:tcW w:w="1136" w:type="dxa"/>
            <w:shd w:val="clear" w:color="auto" w:fill="D0CECE" w:themeFill="background2" w:themeFillShade="E6"/>
            <w:vAlign w:val="center"/>
          </w:tcPr>
          <w:p w:rsidR="00C51C46" w:rsidRPr="00FA6FD6" w:rsidRDefault="00C51C46" w:rsidP="00C51C46">
            <w:pPr>
              <w:jc w:val="center"/>
            </w:pPr>
            <w:r w:rsidRPr="00FA6FD6">
              <w:t>Indeks 2</w:t>
            </w:r>
            <w:r w:rsidR="003E2361" w:rsidRPr="00FA6FD6">
              <w:t>6</w:t>
            </w:r>
            <w:r w:rsidRPr="00FA6FD6">
              <w:t>./</w:t>
            </w:r>
            <w:r w:rsidR="009D1474" w:rsidRPr="00FA6FD6">
              <w:t>2</w:t>
            </w:r>
            <w:r w:rsidR="003E2361" w:rsidRPr="00FA6FD6">
              <w:t>5</w:t>
            </w:r>
            <w:r w:rsidRPr="00FA6FD6">
              <w:t>.</w:t>
            </w:r>
          </w:p>
        </w:tc>
      </w:tr>
      <w:tr w:rsidR="003E2361" w:rsidRPr="00B77F75" w:rsidTr="002579AE">
        <w:tc>
          <w:tcPr>
            <w:tcW w:w="1632" w:type="dxa"/>
          </w:tcPr>
          <w:p w:rsidR="00C51C46" w:rsidRPr="00023380" w:rsidRDefault="00C51C46" w:rsidP="00C51C46">
            <w:r w:rsidRPr="00023380">
              <w:t>Šifra aktivnosti/ programa</w:t>
            </w:r>
          </w:p>
          <w:p w:rsidR="000B159F" w:rsidRDefault="000B159F" w:rsidP="00E24EC5">
            <w:pPr>
              <w:pBdr>
                <w:top w:val="dotted" w:sz="4" w:space="1" w:color="808080" w:themeColor="background1" w:themeShade="80"/>
                <w:bottom w:val="dotted" w:sz="4" w:space="1" w:color="808080" w:themeColor="background1" w:themeShade="80"/>
              </w:pBdr>
              <w:shd w:val="clear" w:color="auto" w:fill="D0CECE" w:themeFill="background2" w:themeFillShade="E6"/>
              <w:jc w:val="both"/>
            </w:pPr>
            <w:r w:rsidRPr="000B159F">
              <w:t>A679134</w:t>
            </w:r>
          </w:p>
          <w:p w:rsidR="00E24EC5" w:rsidRPr="00023380" w:rsidRDefault="00AD3A33" w:rsidP="00E24EC5">
            <w:pPr>
              <w:pBdr>
                <w:top w:val="dotted" w:sz="4" w:space="1" w:color="808080" w:themeColor="background1" w:themeShade="80"/>
                <w:bottom w:val="dotted" w:sz="4" w:space="1" w:color="808080" w:themeColor="background1" w:themeShade="80"/>
              </w:pBdr>
              <w:shd w:val="clear" w:color="auto" w:fill="D0CECE" w:themeFill="background2" w:themeFillShade="E6"/>
              <w:jc w:val="both"/>
              <w:rPr>
                <w:b/>
                <w:sz w:val="28"/>
              </w:rPr>
            </w:pPr>
            <w:r w:rsidRPr="000B159F">
              <w:rPr>
                <w:sz w:val="20"/>
                <w:szCs w:val="20"/>
              </w:rPr>
              <w:t>PROGRAMSKO FINANCIRANJE JAVNIH VISOKIH UČILIŠTA 2025. - 2029.</w:t>
            </w:r>
          </w:p>
          <w:p w:rsidR="00C51C46" w:rsidRPr="00023380" w:rsidRDefault="00C51C46" w:rsidP="00C51C46"/>
        </w:tc>
        <w:tc>
          <w:tcPr>
            <w:tcW w:w="1248" w:type="dxa"/>
            <w:shd w:val="clear" w:color="auto" w:fill="auto"/>
          </w:tcPr>
          <w:p w:rsidR="00C51C46" w:rsidRDefault="003E2361" w:rsidP="000C7476">
            <w:pPr>
              <w:jc w:val="both"/>
            </w:pPr>
            <w:r>
              <w:t>12.577.187</w:t>
            </w:r>
          </w:p>
          <w:p w:rsidR="00E24EC5" w:rsidRPr="00B77F75" w:rsidRDefault="00E24EC5" w:rsidP="000C7476">
            <w:pPr>
              <w:jc w:val="both"/>
            </w:pPr>
            <w:r>
              <w:t>EUR</w:t>
            </w:r>
          </w:p>
        </w:tc>
        <w:tc>
          <w:tcPr>
            <w:tcW w:w="1248" w:type="dxa"/>
          </w:tcPr>
          <w:p w:rsidR="00C51C46" w:rsidRPr="00FA6FD6" w:rsidRDefault="003E2361" w:rsidP="00C51C46">
            <w:pPr>
              <w:jc w:val="both"/>
              <w:rPr>
                <w:lang w:val="en-US"/>
              </w:rPr>
            </w:pPr>
            <w:r w:rsidRPr="00FA6FD6">
              <w:t>13.</w:t>
            </w:r>
            <w:r w:rsidR="009F43C2">
              <w:t>067.516</w:t>
            </w:r>
            <w:r w:rsidR="008B5991" w:rsidRPr="00FA6FD6">
              <w:t xml:space="preserve"> </w:t>
            </w:r>
            <w:r w:rsidR="005F3B3D" w:rsidRPr="00FA6FD6">
              <w:t>EUR</w:t>
            </w:r>
          </w:p>
        </w:tc>
        <w:tc>
          <w:tcPr>
            <w:tcW w:w="1248" w:type="dxa"/>
          </w:tcPr>
          <w:p w:rsidR="00C51C46" w:rsidRPr="00FA6FD6" w:rsidRDefault="00FA6FD6" w:rsidP="00C51C46">
            <w:pPr>
              <w:jc w:val="both"/>
            </w:pPr>
            <w:r w:rsidRPr="00FA6FD6">
              <w:t>14.668.604</w:t>
            </w:r>
            <w:r w:rsidR="005F3B3D" w:rsidRPr="00FA6FD6">
              <w:t xml:space="preserve"> EUR</w:t>
            </w:r>
          </w:p>
        </w:tc>
        <w:tc>
          <w:tcPr>
            <w:tcW w:w="1275" w:type="dxa"/>
          </w:tcPr>
          <w:p w:rsidR="00C51C46" w:rsidRPr="00FA6FD6" w:rsidRDefault="00FA6FD6" w:rsidP="00C51C46">
            <w:pPr>
              <w:jc w:val="both"/>
            </w:pPr>
            <w:r w:rsidRPr="00FA6FD6">
              <w:t>14.805.933</w:t>
            </w:r>
            <w:r w:rsidR="00C3058C" w:rsidRPr="00FA6FD6">
              <w:t xml:space="preserve"> </w:t>
            </w:r>
            <w:r w:rsidR="005F3B3D" w:rsidRPr="00FA6FD6">
              <w:t>EUR</w:t>
            </w:r>
          </w:p>
        </w:tc>
        <w:tc>
          <w:tcPr>
            <w:tcW w:w="1275" w:type="dxa"/>
          </w:tcPr>
          <w:p w:rsidR="00C51C46" w:rsidRPr="00FA6FD6" w:rsidRDefault="00FA6FD6" w:rsidP="00C51C46">
            <w:pPr>
              <w:jc w:val="both"/>
            </w:pPr>
            <w:r w:rsidRPr="00FA6FD6">
              <w:t>15.039.218</w:t>
            </w:r>
            <w:r w:rsidR="00C3058C" w:rsidRPr="00FA6FD6">
              <w:t xml:space="preserve"> </w:t>
            </w:r>
            <w:r w:rsidR="005F3B3D" w:rsidRPr="00FA6FD6">
              <w:t>EUR</w:t>
            </w:r>
          </w:p>
        </w:tc>
        <w:tc>
          <w:tcPr>
            <w:tcW w:w="1136" w:type="dxa"/>
          </w:tcPr>
          <w:p w:rsidR="00C51C46" w:rsidRPr="00FA6FD6" w:rsidRDefault="00F2219E" w:rsidP="00C51C46">
            <w:pPr>
              <w:jc w:val="both"/>
              <w:rPr>
                <w:lang w:val="en-US"/>
              </w:rPr>
            </w:pPr>
            <w:r>
              <w:t>112,25</w:t>
            </w:r>
            <w:bookmarkStart w:id="1" w:name="_GoBack"/>
            <w:bookmarkEnd w:id="1"/>
          </w:p>
        </w:tc>
      </w:tr>
    </w:tbl>
    <w:bookmarkEnd w:id="0"/>
    <w:p w:rsidR="00C51C46" w:rsidRDefault="00C51C46" w:rsidP="00C51C46">
      <w:pPr>
        <w:spacing w:before="240"/>
        <w:jc w:val="both"/>
        <w:rPr>
          <w:i/>
        </w:rPr>
      </w:pPr>
      <w:r w:rsidRPr="00B77F75">
        <w:rPr>
          <w:i/>
        </w:rPr>
        <w:t xml:space="preserve">Ova aktivnost/ projekt sastoji se od sljedećih elemenata/ </w:t>
      </w:r>
      <w:proofErr w:type="spellStart"/>
      <w:r w:rsidRPr="00B77F75">
        <w:rPr>
          <w:i/>
        </w:rPr>
        <w:t>podaktivnosti</w:t>
      </w:r>
      <w:proofErr w:type="spellEnd"/>
      <w:r w:rsidRPr="00B77F75">
        <w:rPr>
          <w:i/>
        </w:rPr>
        <w:t>:</w:t>
      </w:r>
    </w:p>
    <w:p w:rsidR="00E24EC5" w:rsidRPr="00426B2A" w:rsidRDefault="00E24EC5" w:rsidP="00426B2A">
      <w:pPr>
        <w:pStyle w:val="ListParagraph"/>
        <w:numPr>
          <w:ilvl w:val="0"/>
          <w:numId w:val="30"/>
        </w:numPr>
        <w:spacing w:before="240"/>
        <w:jc w:val="both"/>
        <w:rPr>
          <w:i/>
        </w:rPr>
      </w:pPr>
      <w:r w:rsidRPr="00426B2A">
        <w:rPr>
          <w:i/>
        </w:rPr>
        <w:t>Osnovna komponenta obuhvaća:</w:t>
      </w:r>
    </w:p>
    <w:p w:rsidR="00E24EC5" w:rsidRPr="006752BD" w:rsidRDefault="00C51C46" w:rsidP="006752BD">
      <w:pPr>
        <w:pStyle w:val="ListParagraph"/>
        <w:numPr>
          <w:ilvl w:val="0"/>
          <w:numId w:val="29"/>
        </w:numPr>
        <w:jc w:val="both"/>
        <w:rPr>
          <w:i/>
        </w:rPr>
      </w:pPr>
      <w:r w:rsidRPr="006752BD">
        <w:rPr>
          <w:i/>
        </w:rPr>
        <w:t>Financiranja rashoda za plaće</w:t>
      </w:r>
      <w:r w:rsidR="00E24EC5" w:rsidRPr="006752BD">
        <w:rPr>
          <w:i/>
        </w:rPr>
        <w:t xml:space="preserve"> i materijalna prava zaposlenih</w:t>
      </w:r>
    </w:p>
    <w:p w:rsidR="00E24EC5" w:rsidRPr="006752BD" w:rsidRDefault="00C51C46" w:rsidP="006752BD">
      <w:pPr>
        <w:pStyle w:val="ListParagraph"/>
        <w:numPr>
          <w:ilvl w:val="0"/>
          <w:numId w:val="29"/>
        </w:numPr>
        <w:jc w:val="both"/>
        <w:rPr>
          <w:rFonts w:ascii="Times New Roman" w:hAnsi="Times New Roman" w:cs="Times New Roman"/>
          <w:i/>
        </w:rPr>
      </w:pPr>
      <w:r w:rsidRPr="006752BD">
        <w:rPr>
          <w:i/>
        </w:rPr>
        <w:t xml:space="preserve">Financiranja materijalnih </w:t>
      </w:r>
      <w:r w:rsidR="00E24EC5" w:rsidRPr="006752BD">
        <w:rPr>
          <w:i/>
        </w:rPr>
        <w:t>troškova poslovanja</w:t>
      </w:r>
    </w:p>
    <w:p w:rsidR="00E24EC5" w:rsidRPr="00E24EC5" w:rsidRDefault="00C51C46" w:rsidP="00E24EC5">
      <w:pPr>
        <w:pStyle w:val="ListParagraph"/>
        <w:numPr>
          <w:ilvl w:val="0"/>
          <w:numId w:val="29"/>
        </w:numPr>
        <w:jc w:val="both"/>
        <w:rPr>
          <w:rFonts w:ascii="Times New Roman" w:hAnsi="Times New Roman" w:cs="Times New Roman"/>
          <w:i/>
        </w:rPr>
      </w:pPr>
      <w:r w:rsidRPr="00E24EC5">
        <w:rPr>
          <w:i/>
        </w:rPr>
        <w:t>Financiranje</w:t>
      </w:r>
      <w:r w:rsidR="00E24EC5" w:rsidRPr="00E24EC5">
        <w:rPr>
          <w:i/>
        </w:rPr>
        <w:t xml:space="preserve"> tekućeg i investicijskog održavanja nastavne, znanstvene i umjetničke infrastrukture</w:t>
      </w:r>
      <w:r w:rsidRPr="00E24EC5">
        <w:rPr>
          <w:i/>
        </w:rPr>
        <w:t xml:space="preserve"> </w:t>
      </w:r>
    </w:p>
    <w:p w:rsidR="00E24EC5" w:rsidRPr="00E24EC5" w:rsidRDefault="00E24EC5" w:rsidP="00E24EC5">
      <w:pPr>
        <w:pStyle w:val="ListParagraph"/>
        <w:numPr>
          <w:ilvl w:val="0"/>
          <w:numId w:val="29"/>
        </w:numPr>
        <w:jc w:val="both"/>
        <w:rPr>
          <w:rFonts w:ascii="Times New Roman" w:hAnsi="Times New Roman" w:cs="Times New Roman"/>
          <w:i/>
        </w:rPr>
      </w:pPr>
      <w:r w:rsidRPr="00E24EC5">
        <w:rPr>
          <w:i/>
        </w:rPr>
        <w:lastRenderedPageBreak/>
        <w:t>Financiranje obavljanja znanstvene odnosno umjetničke i stručne djelatnosti</w:t>
      </w:r>
    </w:p>
    <w:p w:rsidR="00E24EC5" w:rsidRPr="00E24EC5" w:rsidRDefault="00E24EC5" w:rsidP="00E24EC5">
      <w:pPr>
        <w:pStyle w:val="ListParagraph"/>
        <w:numPr>
          <w:ilvl w:val="0"/>
          <w:numId w:val="29"/>
        </w:numPr>
        <w:jc w:val="both"/>
        <w:rPr>
          <w:rFonts w:ascii="Times New Roman" w:hAnsi="Times New Roman" w:cs="Times New Roman"/>
          <w:i/>
        </w:rPr>
      </w:pPr>
      <w:r w:rsidRPr="00E24EC5">
        <w:rPr>
          <w:i/>
        </w:rPr>
        <w:t>Financiranje znanstvenog i stručnog osposobljavanje i usavršavanje</w:t>
      </w:r>
    </w:p>
    <w:p w:rsidR="00E24EC5" w:rsidRPr="00E24EC5" w:rsidRDefault="00E24EC5" w:rsidP="00E24EC5">
      <w:pPr>
        <w:pStyle w:val="ListParagraph"/>
        <w:numPr>
          <w:ilvl w:val="0"/>
          <w:numId w:val="29"/>
        </w:numPr>
        <w:jc w:val="both"/>
        <w:rPr>
          <w:rFonts w:ascii="Times New Roman" w:hAnsi="Times New Roman" w:cs="Times New Roman"/>
          <w:i/>
        </w:rPr>
      </w:pPr>
      <w:r w:rsidRPr="00E24EC5">
        <w:rPr>
          <w:i/>
        </w:rPr>
        <w:t>Financiranje studentskog standarda</w:t>
      </w:r>
    </w:p>
    <w:p w:rsidR="00E24EC5" w:rsidRPr="00E24EC5" w:rsidRDefault="00E24EC5" w:rsidP="00E24EC5">
      <w:pPr>
        <w:pStyle w:val="ListParagraph"/>
        <w:numPr>
          <w:ilvl w:val="0"/>
          <w:numId w:val="29"/>
        </w:numPr>
        <w:jc w:val="both"/>
        <w:rPr>
          <w:rFonts w:ascii="Times New Roman" w:hAnsi="Times New Roman" w:cs="Times New Roman"/>
          <w:i/>
        </w:rPr>
      </w:pPr>
      <w:r w:rsidRPr="00E24EC5">
        <w:rPr>
          <w:i/>
        </w:rPr>
        <w:t>Financiranje izdavačke djelatnosti</w:t>
      </w:r>
    </w:p>
    <w:p w:rsidR="00E24EC5" w:rsidRDefault="00E24EC5" w:rsidP="006752BD">
      <w:pPr>
        <w:pStyle w:val="ListParagraph"/>
        <w:numPr>
          <w:ilvl w:val="0"/>
          <w:numId w:val="30"/>
        </w:numPr>
        <w:spacing w:before="240"/>
        <w:jc w:val="both"/>
        <w:rPr>
          <w:i/>
        </w:rPr>
      </w:pPr>
      <w:r>
        <w:rPr>
          <w:i/>
        </w:rPr>
        <w:t>Razvojna komponenta</w:t>
      </w:r>
    </w:p>
    <w:p w:rsidR="00E24EC5" w:rsidRPr="00E24EC5" w:rsidRDefault="00E24EC5" w:rsidP="006752BD">
      <w:pPr>
        <w:pStyle w:val="ListParagraph"/>
        <w:numPr>
          <w:ilvl w:val="0"/>
          <w:numId w:val="30"/>
        </w:numPr>
        <w:spacing w:before="240"/>
        <w:jc w:val="both"/>
        <w:rPr>
          <w:i/>
        </w:rPr>
      </w:pPr>
      <w:r>
        <w:rPr>
          <w:i/>
        </w:rPr>
        <w:t>Izvedbena komponenta</w:t>
      </w:r>
    </w:p>
    <w:p w:rsidR="00C51C46" w:rsidRPr="00B77F75" w:rsidRDefault="00C51C46" w:rsidP="00C51C46">
      <w:pPr>
        <w:jc w:val="both"/>
        <w:rPr>
          <w:i/>
        </w:rPr>
      </w:pPr>
      <w:r w:rsidRPr="00B77F75">
        <w:rPr>
          <w:i/>
        </w:rPr>
        <w:t xml:space="preserve">Ova aktivnost provodi se svake godine.  </w:t>
      </w:r>
    </w:p>
    <w:p w:rsidR="00C51C46" w:rsidRPr="00B77F75" w:rsidRDefault="00C51C46" w:rsidP="00C51C46">
      <w:pPr>
        <w:jc w:val="both"/>
        <w:rPr>
          <w:i/>
        </w:rPr>
      </w:pPr>
      <w:r w:rsidRPr="00B77F75">
        <w:rPr>
          <w:i/>
        </w:rPr>
        <w:t>U razdoblju 202</w:t>
      </w:r>
      <w:r w:rsidR="003E2361">
        <w:rPr>
          <w:i/>
        </w:rPr>
        <w:t>6</w:t>
      </w:r>
      <w:r w:rsidRPr="00B77F75">
        <w:rPr>
          <w:i/>
        </w:rPr>
        <w:t>. – 202</w:t>
      </w:r>
      <w:r w:rsidR="003E2361">
        <w:rPr>
          <w:i/>
        </w:rPr>
        <w:t>8</w:t>
      </w:r>
      <w:r w:rsidRPr="00B77F75">
        <w:rPr>
          <w:i/>
        </w:rPr>
        <w:t xml:space="preserve">. </w:t>
      </w:r>
      <w:r w:rsidR="006C4A4F" w:rsidRPr="00B77F75">
        <w:rPr>
          <w:i/>
        </w:rPr>
        <w:t xml:space="preserve">planiran je </w:t>
      </w:r>
      <w:r w:rsidR="00A31918" w:rsidRPr="00B77F75">
        <w:rPr>
          <w:i/>
        </w:rPr>
        <w:t>manji</w:t>
      </w:r>
      <w:r w:rsidR="006C4A4F" w:rsidRPr="00B77F75">
        <w:rPr>
          <w:i/>
        </w:rPr>
        <w:t xml:space="preserve"> porast</w:t>
      </w:r>
      <w:r w:rsidR="00860859" w:rsidRPr="00B77F75">
        <w:rPr>
          <w:i/>
        </w:rPr>
        <w:t xml:space="preserve"> na pozicijama ove aktivnosti, </w:t>
      </w:r>
      <w:r w:rsidR="006C4A4F" w:rsidRPr="00B77F75">
        <w:rPr>
          <w:i/>
        </w:rPr>
        <w:t>sukladno očekivanim</w:t>
      </w:r>
      <w:r w:rsidR="00860859" w:rsidRPr="00B77F75">
        <w:rPr>
          <w:i/>
        </w:rPr>
        <w:t xml:space="preserve"> makroekonomski</w:t>
      </w:r>
      <w:r w:rsidR="006C4A4F" w:rsidRPr="00B77F75">
        <w:rPr>
          <w:i/>
        </w:rPr>
        <w:t>m</w:t>
      </w:r>
      <w:r w:rsidR="00860859" w:rsidRPr="00B77F75">
        <w:rPr>
          <w:i/>
        </w:rPr>
        <w:t xml:space="preserve"> pokazatelj</w:t>
      </w:r>
      <w:r w:rsidR="006C4A4F" w:rsidRPr="00B77F75">
        <w:rPr>
          <w:i/>
        </w:rPr>
        <w:t>ima</w:t>
      </w:r>
      <w:r w:rsidR="00D22624" w:rsidRPr="00B77F75">
        <w:rPr>
          <w:i/>
        </w:rPr>
        <w:t xml:space="preserve"> i</w:t>
      </w:r>
      <w:r w:rsidR="006C4A4F" w:rsidRPr="00B77F75">
        <w:rPr>
          <w:i/>
        </w:rPr>
        <w:t xml:space="preserve"> visini proračunske osnovice</w:t>
      </w:r>
      <w:r w:rsidR="00D22624" w:rsidRPr="00B77F75">
        <w:rPr>
          <w:i/>
        </w:rPr>
        <w:t>.</w:t>
      </w:r>
      <w:r w:rsidRPr="00B77F75">
        <w:rPr>
          <w:i/>
        </w:rPr>
        <w:t xml:space="preserve"> </w:t>
      </w:r>
      <w:r w:rsidR="00953B20" w:rsidRPr="00B77F75">
        <w:rPr>
          <w:i/>
        </w:rPr>
        <w:t>U narednom razdoblju</w:t>
      </w:r>
      <w:r w:rsidR="00860859" w:rsidRPr="00B77F75">
        <w:rPr>
          <w:i/>
        </w:rPr>
        <w:t xml:space="preserve"> </w:t>
      </w:r>
      <w:r w:rsidR="00F811B1" w:rsidRPr="00B77F75">
        <w:rPr>
          <w:i/>
        </w:rPr>
        <w:t xml:space="preserve">ne očekuju se promjene intenziteta i uporabe </w:t>
      </w:r>
      <w:r w:rsidR="00860859" w:rsidRPr="00B77F75">
        <w:rPr>
          <w:i/>
        </w:rPr>
        <w:t>namjenskih sredstava za ovu svrhu.</w:t>
      </w:r>
    </w:p>
    <w:p w:rsidR="00C51C46" w:rsidRPr="00B77F75" w:rsidRDefault="00C51C46" w:rsidP="00C51C46">
      <w:pPr>
        <w:jc w:val="both"/>
        <w:rPr>
          <w:i/>
        </w:rPr>
      </w:pPr>
    </w:p>
    <w:p w:rsidR="00C51C46" w:rsidRPr="00AC79D3" w:rsidRDefault="00C51C46" w:rsidP="00C51C46">
      <w:pPr>
        <w:jc w:val="both"/>
        <w:rPr>
          <w:i/>
        </w:rPr>
      </w:pPr>
      <w:r w:rsidRPr="00AC79D3">
        <w:rPr>
          <w:i/>
        </w:rPr>
        <w:t>Izračun financijskog plana:</w:t>
      </w:r>
    </w:p>
    <w:p w:rsidR="00426B2A" w:rsidRPr="00AC79D3" w:rsidRDefault="00426B2A" w:rsidP="00C51C46">
      <w:pPr>
        <w:jc w:val="both"/>
        <w:rPr>
          <w:i/>
        </w:rPr>
      </w:pPr>
    </w:p>
    <w:p w:rsidR="00426B2A" w:rsidRPr="00AC79D3" w:rsidRDefault="00426B2A" w:rsidP="006752BD">
      <w:pPr>
        <w:pStyle w:val="ListParagraph"/>
        <w:numPr>
          <w:ilvl w:val="0"/>
          <w:numId w:val="31"/>
        </w:numPr>
        <w:spacing w:before="240"/>
        <w:jc w:val="both"/>
        <w:rPr>
          <w:i/>
        </w:rPr>
      </w:pPr>
      <w:r w:rsidRPr="00AC79D3">
        <w:rPr>
          <w:i/>
        </w:rPr>
        <w:t>Osnovna komponenta</w:t>
      </w:r>
    </w:p>
    <w:p w:rsidR="00C51C46" w:rsidRPr="00AC79D3" w:rsidRDefault="00C51C46" w:rsidP="006752BD">
      <w:pPr>
        <w:pStyle w:val="ListParagraph"/>
        <w:numPr>
          <w:ilvl w:val="0"/>
          <w:numId w:val="13"/>
        </w:numPr>
        <w:spacing w:after="0"/>
        <w:ind w:left="1428"/>
        <w:jc w:val="both"/>
        <w:rPr>
          <w:rFonts w:ascii="Times New Roman" w:hAnsi="Times New Roman" w:cs="Times New Roman"/>
          <w:i/>
        </w:rPr>
      </w:pPr>
      <w:r w:rsidRPr="00AC79D3">
        <w:rPr>
          <w:rFonts w:ascii="Times New Roman" w:hAnsi="Times New Roman" w:cs="Times New Roman"/>
          <w:i/>
        </w:rPr>
        <w:t>Element 1:</w:t>
      </w:r>
    </w:p>
    <w:p w:rsidR="00426B2A" w:rsidRPr="00AC79D3" w:rsidRDefault="00426B2A" w:rsidP="006752BD">
      <w:pPr>
        <w:pStyle w:val="ListParagraph"/>
        <w:spacing w:after="0"/>
        <w:ind w:left="1428"/>
        <w:jc w:val="both"/>
        <w:rPr>
          <w:rFonts w:ascii="Times New Roman" w:hAnsi="Times New Roman" w:cs="Times New Roman"/>
          <w:i/>
        </w:rPr>
      </w:pPr>
      <w:r w:rsidRPr="00AC79D3">
        <w:rPr>
          <w:rFonts w:ascii="Times New Roman" w:hAnsi="Times New Roman" w:cs="Times New Roman"/>
          <w:i/>
        </w:rPr>
        <w:t>Plaće i materijalna prava zaposlenih</w:t>
      </w:r>
    </w:p>
    <w:p w:rsidR="00531451" w:rsidRPr="00AC79D3" w:rsidRDefault="00A45D8E" w:rsidP="00AC641F">
      <w:pPr>
        <w:pStyle w:val="ListParagraph"/>
        <w:ind w:left="1416"/>
        <w:jc w:val="both"/>
        <w:rPr>
          <w:rFonts w:ascii="Times New Roman" w:hAnsi="Times New Roman" w:cs="Times New Roman"/>
          <w:i/>
        </w:rPr>
      </w:pPr>
      <w:r w:rsidRPr="00AC79D3">
        <w:rPr>
          <w:rFonts w:ascii="Times New Roman" w:hAnsi="Times New Roman" w:cs="Times New Roman"/>
          <w:i/>
        </w:rPr>
        <w:t>Planirani b</w:t>
      </w:r>
      <w:r w:rsidR="00C51C46" w:rsidRPr="00AC79D3">
        <w:rPr>
          <w:rFonts w:ascii="Times New Roman" w:hAnsi="Times New Roman" w:cs="Times New Roman"/>
          <w:i/>
        </w:rPr>
        <w:t>roj zaposlenih u 20</w:t>
      </w:r>
      <w:r w:rsidR="00953B20" w:rsidRPr="00AC79D3">
        <w:rPr>
          <w:rFonts w:ascii="Times New Roman" w:hAnsi="Times New Roman" w:cs="Times New Roman"/>
          <w:i/>
        </w:rPr>
        <w:t>2</w:t>
      </w:r>
      <w:r w:rsidR="00531451" w:rsidRPr="00AC79D3">
        <w:rPr>
          <w:rFonts w:ascii="Times New Roman" w:hAnsi="Times New Roman" w:cs="Times New Roman"/>
          <w:i/>
        </w:rPr>
        <w:t>6</w:t>
      </w:r>
      <w:r w:rsidR="00C51C46" w:rsidRPr="00AC79D3">
        <w:rPr>
          <w:rFonts w:ascii="Times New Roman" w:hAnsi="Times New Roman" w:cs="Times New Roman"/>
          <w:i/>
        </w:rPr>
        <w:t>.g. x iznos prosječne mjesečne plaće x 12 mjeseci + ostali rashodi za  zaposlene</w:t>
      </w:r>
      <w:r w:rsidR="00531451" w:rsidRPr="00AC79D3">
        <w:rPr>
          <w:rFonts w:ascii="Times New Roman" w:hAnsi="Times New Roman" w:cs="Times New Roman"/>
          <w:i/>
        </w:rPr>
        <w:t xml:space="preserve"> + materijalna prava zaposlenih </w:t>
      </w:r>
      <w:r w:rsidR="00C51C46" w:rsidRPr="00AC79D3">
        <w:rPr>
          <w:rFonts w:ascii="Times New Roman" w:hAnsi="Times New Roman" w:cs="Times New Roman"/>
          <w:i/>
        </w:rPr>
        <w:t>=</w:t>
      </w:r>
      <w:r w:rsidR="00531451" w:rsidRPr="00AC79D3">
        <w:rPr>
          <w:rFonts w:ascii="Times New Roman" w:hAnsi="Times New Roman" w:cs="Times New Roman"/>
          <w:i/>
        </w:rPr>
        <w:t>13.365.878</w:t>
      </w:r>
      <w:r w:rsidR="00567BA7" w:rsidRPr="00AC79D3">
        <w:rPr>
          <w:rFonts w:ascii="Times New Roman" w:hAnsi="Times New Roman" w:cs="Times New Roman"/>
          <w:i/>
        </w:rPr>
        <w:t xml:space="preserve"> </w:t>
      </w:r>
      <w:r w:rsidR="00EF2242" w:rsidRPr="00AC79D3">
        <w:rPr>
          <w:rFonts w:ascii="Times New Roman" w:hAnsi="Times New Roman" w:cs="Times New Roman"/>
          <w:i/>
        </w:rPr>
        <w:t>EUR</w:t>
      </w:r>
      <w:r w:rsidR="00567BA7" w:rsidRPr="00AC79D3">
        <w:rPr>
          <w:rFonts w:ascii="Times New Roman" w:hAnsi="Times New Roman" w:cs="Times New Roman"/>
          <w:i/>
        </w:rPr>
        <w:t xml:space="preserve">. U </w:t>
      </w:r>
      <w:r w:rsidR="002D1464" w:rsidRPr="00AC79D3">
        <w:rPr>
          <w:rFonts w:ascii="Times New Roman" w:hAnsi="Times New Roman" w:cs="Times New Roman"/>
          <w:i/>
        </w:rPr>
        <w:t>202</w:t>
      </w:r>
      <w:r w:rsidR="00531451" w:rsidRPr="00AC79D3">
        <w:rPr>
          <w:rFonts w:ascii="Times New Roman" w:hAnsi="Times New Roman" w:cs="Times New Roman"/>
          <w:i/>
        </w:rPr>
        <w:t>7</w:t>
      </w:r>
      <w:r w:rsidR="002D1464" w:rsidRPr="00AC79D3">
        <w:rPr>
          <w:rFonts w:ascii="Times New Roman" w:hAnsi="Times New Roman" w:cs="Times New Roman"/>
          <w:i/>
        </w:rPr>
        <w:t>. godini rashodi za plaće</w:t>
      </w:r>
      <w:r w:rsidR="00531451" w:rsidRPr="00AC79D3">
        <w:rPr>
          <w:rFonts w:ascii="Times New Roman" w:hAnsi="Times New Roman" w:cs="Times New Roman"/>
          <w:i/>
        </w:rPr>
        <w:t xml:space="preserve"> i materijalna prava</w:t>
      </w:r>
      <w:r w:rsidR="002D1464" w:rsidRPr="00AC79D3">
        <w:rPr>
          <w:rFonts w:ascii="Times New Roman" w:hAnsi="Times New Roman" w:cs="Times New Roman"/>
          <w:i/>
        </w:rPr>
        <w:t xml:space="preserve">  planiraju se u visini od 1</w:t>
      </w:r>
      <w:r w:rsidR="00531451" w:rsidRPr="00AC79D3">
        <w:rPr>
          <w:rFonts w:ascii="Times New Roman" w:hAnsi="Times New Roman" w:cs="Times New Roman"/>
          <w:i/>
        </w:rPr>
        <w:t>3.541.466</w:t>
      </w:r>
      <w:r w:rsidR="002D1464" w:rsidRPr="00AC79D3">
        <w:rPr>
          <w:rFonts w:ascii="Times New Roman" w:hAnsi="Times New Roman" w:cs="Times New Roman"/>
          <w:i/>
        </w:rPr>
        <w:t xml:space="preserve"> EUR, a u 202</w:t>
      </w:r>
      <w:r w:rsidR="00531451" w:rsidRPr="00AC79D3">
        <w:rPr>
          <w:rFonts w:ascii="Times New Roman" w:hAnsi="Times New Roman" w:cs="Times New Roman"/>
          <w:i/>
        </w:rPr>
        <w:t>8</w:t>
      </w:r>
      <w:r w:rsidR="002D1464" w:rsidRPr="00AC79D3">
        <w:rPr>
          <w:rFonts w:ascii="Times New Roman" w:hAnsi="Times New Roman" w:cs="Times New Roman"/>
          <w:i/>
        </w:rPr>
        <w:t>.godini u visini od 1</w:t>
      </w:r>
      <w:r w:rsidR="00531451" w:rsidRPr="00AC79D3">
        <w:rPr>
          <w:rFonts w:ascii="Times New Roman" w:hAnsi="Times New Roman" w:cs="Times New Roman"/>
          <w:i/>
        </w:rPr>
        <w:t>3.810.000</w:t>
      </w:r>
      <w:r w:rsidR="002D1464" w:rsidRPr="00AC79D3">
        <w:rPr>
          <w:rFonts w:ascii="Times New Roman" w:hAnsi="Times New Roman" w:cs="Times New Roman"/>
          <w:i/>
        </w:rPr>
        <w:t xml:space="preserve"> EUR.</w:t>
      </w:r>
    </w:p>
    <w:p w:rsidR="00426B2A" w:rsidRPr="00AC79D3" w:rsidRDefault="00426B2A" w:rsidP="00531451">
      <w:pPr>
        <w:pStyle w:val="ListParagraph"/>
        <w:jc w:val="both"/>
        <w:rPr>
          <w:rFonts w:ascii="Times New Roman" w:hAnsi="Times New Roman" w:cs="Times New Roman"/>
          <w:i/>
        </w:rPr>
      </w:pPr>
    </w:p>
    <w:p w:rsidR="00C51C46" w:rsidRPr="00AC79D3" w:rsidRDefault="00C51C46" w:rsidP="006752BD">
      <w:pPr>
        <w:pStyle w:val="ListParagraph"/>
        <w:numPr>
          <w:ilvl w:val="0"/>
          <w:numId w:val="13"/>
        </w:numPr>
        <w:ind w:left="1428"/>
        <w:jc w:val="both"/>
        <w:rPr>
          <w:rFonts w:ascii="Times New Roman" w:hAnsi="Times New Roman" w:cs="Times New Roman"/>
          <w:i/>
        </w:rPr>
      </w:pPr>
      <w:r w:rsidRPr="00AC79D3">
        <w:rPr>
          <w:rFonts w:ascii="Times New Roman" w:hAnsi="Times New Roman" w:cs="Times New Roman"/>
          <w:i/>
        </w:rPr>
        <w:t>Element 2:</w:t>
      </w:r>
    </w:p>
    <w:p w:rsidR="00426B2A" w:rsidRPr="00AC79D3" w:rsidRDefault="00531451" w:rsidP="006752BD">
      <w:pPr>
        <w:pStyle w:val="ListParagraph"/>
        <w:ind w:left="1428"/>
        <w:jc w:val="both"/>
        <w:rPr>
          <w:rFonts w:ascii="Times New Roman" w:hAnsi="Times New Roman" w:cs="Times New Roman"/>
          <w:i/>
        </w:rPr>
      </w:pPr>
      <w:r w:rsidRPr="00AC79D3">
        <w:rPr>
          <w:rFonts w:ascii="Times New Roman" w:hAnsi="Times New Roman" w:cs="Times New Roman"/>
          <w:i/>
        </w:rPr>
        <w:t xml:space="preserve">Materijalni troškovi poslovanja – na ovoj poziciji planirani su ukupni materijalni troškovi poslovanja umanjeni za iznose elemenata </w:t>
      </w:r>
      <w:proofErr w:type="spellStart"/>
      <w:r w:rsidRPr="00AC79D3">
        <w:rPr>
          <w:rFonts w:ascii="Times New Roman" w:hAnsi="Times New Roman" w:cs="Times New Roman"/>
          <w:i/>
        </w:rPr>
        <w:t>podaktivnosti</w:t>
      </w:r>
      <w:proofErr w:type="spellEnd"/>
      <w:r w:rsidRPr="00AC79D3">
        <w:rPr>
          <w:rFonts w:ascii="Times New Roman" w:hAnsi="Times New Roman" w:cs="Times New Roman"/>
          <w:i/>
        </w:rPr>
        <w:t xml:space="preserve"> 3 do 7. Najvećim dijelom su ovdje uključeni</w:t>
      </w:r>
      <w:r w:rsidR="00426B2A" w:rsidRPr="00AC79D3">
        <w:rPr>
          <w:rFonts w:ascii="Times New Roman" w:hAnsi="Times New Roman" w:cs="Times New Roman"/>
          <w:i/>
        </w:rPr>
        <w:t xml:space="preserve"> režijski </w:t>
      </w:r>
      <w:r w:rsidRPr="00AC79D3">
        <w:rPr>
          <w:rFonts w:ascii="Times New Roman" w:hAnsi="Times New Roman" w:cs="Times New Roman"/>
          <w:i/>
        </w:rPr>
        <w:t>troškovi</w:t>
      </w:r>
      <w:r w:rsidR="00426B2A" w:rsidRPr="00AC79D3">
        <w:rPr>
          <w:rFonts w:ascii="Times New Roman" w:hAnsi="Times New Roman" w:cs="Times New Roman"/>
          <w:i/>
        </w:rPr>
        <w:t>, te troškovi</w:t>
      </w:r>
      <w:r w:rsidRPr="00AC79D3">
        <w:rPr>
          <w:rFonts w:ascii="Times New Roman" w:hAnsi="Times New Roman" w:cs="Times New Roman"/>
          <w:i/>
        </w:rPr>
        <w:t xml:space="preserve"> uredskog materijala, sredstva za čišćenje</w:t>
      </w:r>
      <w:r w:rsidR="00426B2A" w:rsidRPr="00AC79D3">
        <w:rPr>
          <w:rFonts w:ascii="Times New Roman" w:hAnsi="Times New Roman" w:cs="Times New Roman"/>
          <w:i/>
        </w:rPr>
        <w:t xml:space="preserve"> i sl. Na ovom elementu/</w:t>
      </w:r>
      <w:proofErr w:type="spellStart"/>
      <w:r w:rsidR="00426B2A" w:rsidRPr="00AC79D3">
        <w:rPr>
          <w:rFonts w:ascii="Times New Roman" w:hAnsi="Times New Roman" w:cs="Times New Roman"/>
          <w:i/>
        </w:rPr>
        <w:t>podaktivnisti</w:t>
      </w:r>
      <w:proofErr w:type="spellEnd"/>
      <w:r w:rsidR="00426B2A" w:rsidRPr="00AC79D3">
        <w:rPr>
          <w:rFonts w:ascii="Times New Roman" w:hAnsi="Times New Roman" w:cs="Times New Roman"/>
          <w:i/>
        </w:rPr>
        <w:t xml:space="preserve"> materijalni troškovi poslovanja planiraju se u visini od 886.914 EUR u 2026,  844.680 EUR u 2027. i  804.457 EUR u 2028. godini</w:t>
      </w:r>
    </w:p>
    <w:p w:rsidR="00531451" w:rsidRPr="00AC79D3" w:rsidRDefault="00531451" w:rsidP="006752BD">
      <w:pPr>
        <w:pStyle w:val="ListParagraph"/>
        <w:ind w:left="1428"/>
        <w:jc w:val="both"/>
        <w:rPr>
          <w:rFonts w:ascii="Times New Roman" w:hAnsi="Times New Roman" w:cs="Times New Roman"/>
          <w:i/>
        </w:rPr>
      </w:pPr>
      <w:r w:rsidRPr="00AC79D3">
        <w:rPr>
          <w:rFonts w:ascii="Times New Roman" w:hAnsi="Times New Roman" w:cs="Times New Roman"/>
          <w:i/>
        </w:rPr>
        <w:t xml:space="preserve"> </w:t>
      </w:r>
    </w:p>
    <w:p w:rsidR="00426B2A" w:rsidRPr="00AC79D3" w:rsidRDefault="00531451" w:rsidP="006752BD">
      <w:pPr>
        <w:pStyle w:val="ListParagraph"/>
        <w:numPr>
          <w:ilvl w:val="0"/>
          <w:numId w:val="13"/>
        </w:numPr>
        <w:ind w:left="1428"/>
        <w:jc w:val="both"/>
        <w:rPr>
          <w:rFonts w:ascii="Times New Roman" w:hAnsi="Times New Roman" w:cs="Times New Roman"/>
          <w:i/>
        </w:rPr>
      </w:pPr>
      <w:r w:rsidRPr="00AC79D3">
        <w:rPr>
          <w:rFonts w:ascii="Times New Roman" w:hAnsi="Times New Roman" w:cs="Times New Roman"/>
          <w:i/>
        </w:rPr>
        <w:t>Element 3:</w:t>
      </w:r>
    </w:p>
    <w:p w:rsidR="00426B2A" w:rsidRPr="00AC79D3" w:rsidRDefault="00426B2A" w:rsidP="006752BD">
      <w:pPr>
        <w:pStyle w:val="ListParagraph"/>
        <w:ind w:left="1428"/>
        <w:jc w:val="both"/>
        <w:rPr>
          <w:i/>
        </w:rPr>
      </w:pPr>
      <w:r w:rsidRPr="00AC79D3">
        <w:rPr>
          <w:i/>
        </w:rPr>
        <w:t xml:space="preserve">Tekuće i investicijsko održavanje nastavne, znanstvene i umjetničke infrastrukture </w:t>
      </w:r>
    </w:p>
    <w:p w:rsidR="00426B2A" w:rsidRPr="00AC79D3" w:rsidRDefault="00426B2A" w:rsidP="006752BD">
      <w:pPr>
        <w:pStyle w:val="ListParagraph"/>
        <w:ind w:left="1428"/>
        <w:jc w:val="both"/>
        <w:rPr>
          <w:rFonts w:ascii="Times New Roman" w:hAnsi="Times New Roman" w:cs="Times New Roman"/>
          <w:i/>
        </w:rPr>
      </w:pPr>
      <w:r w:rsidRPr="00AC79D3">
        <w:rPr>
          <w:rFonts w:ascii="Times New Roman" w:hAnsi="Times New Roman" w:cs="Times New Roman"/>
          <w:i/>
        </w:rPr>
        <w:t>Na ovoj poziciji planirani su materijal i usluge za tekuće i investicijsko održavanje u visini od 88.200 EUR u 2026, 84.000 EUR u 2027. i 80.000 EUR u 2028. godini.</w:t>
      </w:r>
    </w:p>
    <w:p w:rsidR="00531451" w:rsidRPr="00AC79D3" w:rsidRDefault="00531451" w:rsidP="006752BD">
      <w:pPr>
        <w:pStyle w:val="ListParagraph"/>
        <w:ind w:left="1428"/>
        <w:jc w:val="both"/>
        <w:rPr>
          <w:rFonts w:ascii="Times New Roman" w:hAnsi="Times New Roman" w:cs="Times New Roman"/>
          <w:i/>
        </w:rPr>
      </w:pPr>
    </w:p>
    <w:p w:rsidR="00531451" w:rsidRPr="00AC79D3" w:rsidRDefault="00531451" w:rsidP="006752BD">
      <w:pPr>
        <w:pStyle w:val="ListParagraph"/>
        <w:numPr>
          <w:ilvl w:val="0"/>
          <w:numId w:val="13"/>
        </w:numPr>
        <w:ind w:left="1428"/>
        <w:jc w:val="both"/>
        <w:rPr>
          <w:rFonts w:ascii="Times New Roman" w:hAnsi="Times New Roman" w:cs="Times New Roman"/>
          <w:i/>
        </w:rPr>
      </w:pPr>
      <w:r w:rsidRPr="00AC79D3">
        <w:rPr>
          <w:rFonts w:ascii="Times New Roman" w:hAnsi="Times New Roman" w:cs="Times New Roman"/>
          <w:i/>
        </w:rPr>
        <w:t>Element 4:</w:t>
      </w:r>
    </w:p>
    <w:p w:rsidR="00531451" w:rsidRPr="00AC79D3" w:rsidRDefault="00426B2A" w:rsidP="006752BD">
      <w:pPr>
        <w:pStyle w:val="ListParagraph"/>
        <w:ind w:left="1428"/>
        <w:jc w:val="both"/>
        <w:rPr>
          <w:rFonts w:ascii="Times New Roman" w:hAnsi="Times New Roman" w:cs="Times New Roman"/>
          <w:i/>
        </w:rPr>
      </w:pPr>
      <w:r w:rsidRPr="00AC79D3">
        <w:rPr>
          <w:rFonts w:ascii="Times New Roman" w:hAnsi="Times New Roman" w:cs="Times New Roman"/>
          <w:i/>
        </w:rPr>
        <w:t>obavljanje znanstvene odnosno umjetničke i stručne djelatnosti planirano je u iznosu od 55.125 EUR u 2026, 52.500 EUR u 2027. i 50.000 EUR u 2028. godini.</w:t>
      </w:r>
    </w:p>
    <w:p w:rsidR="00531451" w:rsidRPr="00AC79D3" w:rsidRDefault="00531451" w:rsidP="006752BD">
      <w:pPr>
        <w:pStyle w:val="ListParagraph"/>
        <w:ind w:left="1428"/>
        <w:jc w:val="both"/>
        <w:rPr>
          <w:rFonts w:ascii="Times New Roman" w:hAnsi="Times New Roman" w:cs="Times New Roman"/>
          <w:i/>
        </w:rPr>
      </w:pPr>
    </w:p>
    <w:p w:rsidR="00531451" w:rsidRPr="00AC79D3" w:rsidRDefault="00531451" w:rsidP="006752BD">
      <w:pPr>
        <w:pStyle w:val="ListParagraph"/>
        <w:numPr>
          <w:ilvl w:val="0"/>
          <w:numId w:val="13"/>
        </w:numPr>
        <w:ind w:left="1428"/>
        <w:jc w:val="both"/>
        <w:rPr>
          <w:rFonts w:ascii="Times New Roman" w:hAnsi="Times New Roman" w:cs="Times New Roman"/>
          <w:i/>
        </w:rPr>
      </w:pPr>
      <w:r w:rsidRPr="00AC79D3">
        <w:rPr>
          <w:rFonts w:ascii="Times New Roman" w:hAnsi="Times New Roman" w:cs="Times New Roman"/>
          <w:i/>
        </w:rPr>
        <w:t>Element 5:</w:t>
      </w:r>
    </w:p>
    <w:p w:rsidR="00426B2A" w:rsidRPr="00AC79D3" w:rsidRDefault="00426B2A" w:rsidP="006752BD">
      <w:pPr>
        <w:pStyle w:val="ListParagraph"/>
        <w:ind w:left="1428"/>
        <w:jc w:val="both"/>
        <w:rPr>
          <w:rFonts w:ascii="Times New Roman" w:hAnsi="Times New Roman" w:cs="Times New Roman"/>
          <w:i/>
        </w:rPr>
      </w:pPr>
      <w:r w:rsidRPr="00AC79D3">
        <w:rPr>
          <w:rFonts w:ascii="Times New Roman" w:hAnsi="Times New Roman" w:cs="Times New Roman"/>
          <w:i/>
        </w:rPr>
        <w:t>znanstveno i stručno osposobljavanje i usavršavanje planirano je u iznosu od 11.025,00EUR u 2026, 10.500 EUR u 2027. i 10.000 EUR u 2028. godini.</w:t>
      </w:r>
    </w:p>
    <w:p w:rsidR="00531451" w:rsidRPr="00AC79D3" w:rsidRDefault="00531451" w:rsidP="006752BD">
      <w:pPr>
        <w:pStyle w:val="ListParagraph"/>
        <w:ind w:left="1428"/>
        <w:jc w:val="both"/>
        <w:rPr>
          <w:rFonts w:ascii="Times New Roman" w:hAnsi="Times New Roman" w:cs="Times New Roman"/>
          <w:i/>
        </w:rPr>
      </w:pPr>
    </w:p>
    <w:p w:rsidR="00531451" w:rsidRPr="00AC79D3" w:rsidRDefault="00531451" w:rsidP="006752BD">
      <w:pPr>
        <w:pStyle w:val="ListParagraph"/>
        <w:numPr>
          <w:ilvl w:val="0"/>
          <w:numId w:val="13"/>
        </w:numPr>
        <w:ind w:left="1428"/>
        <w:jc w:val="both"/>
        <w:rPr>
          <w:rFonts w:ascii="Times New Roman" w:hAnsi="Times New Roman" w:cs="Times New Roman"/>
          <w:i/>
        </w:rPr>
      </w:pPr>
      <w:r w:rsidRPr="00AC79D3">
        <w:rPr>
          <w:rFonts w:ascii="Times New Roman" w:hAnsi="Times New Roman" w:cs="Times New Roman"/>
          <w:i/>
        </w:rPr>
        <w:t>Element 6:</w:t>
      </w:r>
    </w:p>
    <w:p w:rsidR="006752BD" w:rsidRPr="00AC79D3" w:rsidRDefault="00426B2A" w:rsidP="006752BD">
      <w:pPr>
        <w:pStyle w:val="ListParagraph"/>
        <w:ind w:left="1428"/>
        <w:jc w:val="both"/>
        <w:rPr>
          <w:rFonts w:ascii="Times New Roman" w:hAnsi="Times New Roman" w:cs="Times New Roman"/>
          <w:i/>
        </w:rPr>
      </w:pPr>
      <w:r w:rsidRPr="00AC79D3">
        <w:rPr>
          <w:rFonts w:ascii="Times New Roman" w:hAnsi="Times New Roman" w:cs="Times New Roman"/>
          <w:i/>
        </w:rPr>
        <w:t>studentski standard</w:t>
      </w:r>
      <w:r w:rsidR="006752BD" w:rsidRPr="00AC79D3">
        <w:rPr>
          <w:rFonts w:ascii="Times New Roman" w:hAnsi="Times New Roman" w:cs="Times New Roman"/>
          <w:i/>
        </w:rPr>
        <w:t xml:space="preserve"> planiran je u iznosu od 15.364EUR u 2026, 14.632 EUR u 2027. i </w:t>
      </w:r>
      <w:r w:rsidR="00AC641F" w:rsidRPr="00AC79D3">
        <w:rPr>
          <w:rFonts w:ascii="Times New Roman" w:hAnsi="Times New Roman" w:cs="Times New Roman"/>
          <w:i/>
        </w:rPr>
        <w:t>13.936</w:t>
      </w:r>
      <w:r w:rsidR="006752BD" w:rsidRPr="00AC79D3">
        <w:rPr>
          <w:rFonts w:ascii="Times New Roman" w:hAnsi="Times New Roman" w:cs="Times New Roman"/>
          <w:i/>
        </w:rPr>
        <w:t xml:space="preserve"> EUR u 2028. godini.</w:t>
      </w:r>
    </w:p>
    <w:p w:rsidR="00531451" w:rsidRPr="00AC79D3" w:rsidRDefault="00531451" w:rsidP="006752BD">
      <w:pPr>
        <w:pStyle w:val="ListParagraph"/>
        <w:ind w:left="1428"/>
        <w:jc w:val="both"/>
        <w:rPr>
          <w:rFonts w:ascii="Times New Roman" w:hAnsi="Times New Roman" w:cs="Times New Roman"/>
          <w:i/>
        </w:rPr>
      </w:pPr>
    </w:p>
    <w:p w:rsidR="00531451" w:rsidRPr="00AC79D3" w:rsidRDefault="00531451" w:rsidP="006752BD">
      <w:pPr>
        <w:pStyle w:val="ListParagraph"/>
        <w:numPr>
          <w:ilvl w:val="0"/>
          <w:numId w:val="13"/>
        </w:numPr>
        <w:ind w:left="1428"/>
        <w:jc w:val="both"/>
        <w:rPr>
          <w:rFonts w:ascii="Times New Roman" w:hAnsi="Times New Roman" w:cs="Times New Roman"/>
          <w:i/>
        </w:rPr>
      </w:pPr>
      <w:r w:rsidRPr="00AC79D3">
        <w:rPr>
          <w:rFonts w:ascii="Times New Roman" w:hAnsi="Times New Roman" w:cs="Times New Roman"/>
          <w:i/>
        </w:rPr>
        <w:t>Element 7:</w:t>
      </w:r>
    </w:p>
    <w:p w:rsidR="00AC641F" w:rsidRPr="00AC79D3" w:rsidRDefault="00AC641F" w:rsidP="00AC641F">
      <w:pPr>
        <w:pStyle w:val="ListParagraph"/>
        <w:ind w:left="1428"/>
        <w:jc w:val="both"/>
        <w:rPr>
          <w:rFonts w:ascii="Times New Roman" w:hAnsi="Times New Roman" w:cs="Times New Roman"/>
          <w:i/>
        </w:rPr>
      </w:pPr>
      <w:r w:rsidRPr="00AC79D3">
        <w:rPr>
          <w:rFonts w:ascii="Times New Roman" w:hAnsi="Times New Roman" w:cs="Times New Roman"/>
          <w:i/>
        </w:rPr>
        <w:t>Izdavačka djelatnost</w:t>
      </w:r>
      <w:r w:rsidR="0008637A">
        <w:rPr>
          <w:rFonts w:ascii="Times New Roman" w:hAnsi="Times New Roman" w:cs="Times New Roman"/>
          <w:i/>
        </w:rPr>
        <w:t xml:space="preserve"> </w:t>
      </w:r>
      <w:r w:rsidRPr="00AC79D3">
        <w:rPr>
          <w:rFonts w:ascii="Times New Roman" w:hAnsi="Times New Roman" w:cs="Times New Roman"/>
          <w:i/>
        </w:rPr>
        <w:t>planirana je u iznosu od 2.547 u 2026, 2.426 EUR u 2027. i 2.310 EUR u 2028. godini.</w:t>
      </w:r>
    </w:p>
    <w:p w:rsidR="00AC641F" w:rsidRDefault="00AC641F" w:rsidP="00AC641F">
      <w:pPr>
        <w:pStyle w:val="ListParagraph"/>
        <w:ind w:left="1428"/>
        <w:jc w:val="both"/>
        <w:rPr>
          <w:rFonts w:ascii="Times New Roman" w:hAnsi="Times New Roman" w:cs="Times New Roman"/>
          <w:i/>
        </w:rPr>
      </w:pPr>
    </w:p>
    <w:p w:rsidR="00023380" w:rsidRDefault="00023380" w:rsidP="00AC641F">
      <w:pPr>
        <w:pStyle w:val="ListParagraph"/>
        <w:ind w:left="1428"/>
        <w:jc w:val="both"/>
        <w:rPr>
          <w:rFonts w:ascii="Times New Roman" w:hAnsi="Times New Roman" w:cs="Times New Roman"/>
          <w:i/>
        </w:rPr>
      </w:pPr>
    </w:p>
    <w:p w:rsidR="00023380" w:rsidRDefault="00023380" w:rsidP="00AC641F">
      <w:pPr>
        <w:pStyle w:val="ListParagraph"/>
        <w:ind w:left="1428"/>
        <w:jc w:val="both"/>
        <w:rPr>
          <w:rFonts w:ascii="Times New Roman" w:hAnsi="Times New Roman" w:cs="Times New Roman"/>
          <w:i/>
        </w:rPr>
      </w:pPr>
    </w:p>
    <w:p w:rsidR="00023380" w:rsidRDefault="00023380" w:rsidP="00AC641F">
      <w:pPr>
        <w:pStyle w:val="ListParagraph"/>
        <w:ind w:left="1428"/>
        <w:jc w:val="both"/>
        <w:rPr>
          <w:rFonts w:ascii="Times New Roman" w:hAnsi="Times New Roman" w:cs="Times New Roman"/>
          <w:i/>
        </w:rPr>
      </w:pPr>
    </w:p>
    <w:p w:rsidR="00023380" w:rsidRPr="00AC79D3" w:rsidRDefault="00023380" w:rsidP="00AC641F">
      <w:pPr>
        <w:pStyle w:val="ListParagraph"/>
        <w:ind w:left="1428"/>
        <w:jc w:val="both"/>
        <w:rPr>
          <w:rFonts w:ascii="Times New Roman" w:hAnsi="Times New Roman" w:cs="Times New Roman"/>
          <w:i/>
        </w:rPr>
      </w:pPr>
    </w:p>
    <w:p w:rsidR="00531451" w:rsidRPr="00AC79D3" w:rsidRDefault="00531451" w:rsidP="00531451">
      <w:pPr>
        <w:pStyle w:val="ListParagraph"/>
        <w:ind w:left="862"/>
        <w:jc w:val="both"/>
        <w:rPr>
          <w:rFonts w:ascii="Times New Roman" w:hAnsi="Times New Roman" w:cs="Times New Roman"/>
          <w:i/>
        </w:rPr>
      </w:pPr>
    </w:p>
    <w:p w:rsidR="00AC641F" w:rsidRPr="00DB18DD" w:rsidRDefault="00AC641F" w:rsidP="00DB18DD">
      <w:pPr>
        <w:pStyle w:val="ListParagraph"/>
        <w:numPr>
          <w:ilvl w:val="0"/>
          <w:numId w:val="31"/>
        </w:numPr>
        <w:spacing w:before="240"/>
        <w:jc w:val="both"/>
        <w:rPr>
          <w:i/>
        </w:rPr>
      </w:pPr>
      <w:r w:rsidRPr="00DB18DD">
        <w:rPr>
          <w:i/>
        </w:rPr>
        <w:t>Razvojna komponenta</w:t>
      </w:r>
    </w:p>
    <w:p w:rsidR="004369A8" w:rsidRPr="00AC79D3" w:rsidRDefault="004369A8" w:rsidP="004369A8">
      <w:pPr>
        <w:spacing w:before="240"/>
        <w:ind w:left="708"/>
        <w:jc w:val="both"/>
        <w:rPr>
          <w:i/>
        </w:rPr>
      </w:pPr>
      <w:r w:rsidRPr="00AC79D3">
        <w:rPr>
          <w:i/>
        </w:rPr>
        <w:t>Razvojna komponenta planirana je u iznosu od 169.864 EUR u 2026, 176.451EUR u 2027. i 191.942 EUR u 2028. godini. Razvojna komponenta obuhvaća slijedeće aktivnosti:</w:t>
      </w:r>
    </w:p>
    <w:p w:rsidR="004369A8" w:rsidRPr="00AC79D3" w:rsidRDefault="0003694E" w:rsidP="0003694E">
      <w:pPr>
        <w:pStyle w:val="ListParagraph"/>
        <w:spacing w:before="240"/>
        <w:ind w:left="1068"/>
        <w:jc w:val="both"/>
        <w:rPr>
          <w:i/>
        </w:rPr>
      </w:pPr>
      <w:r w:rsidRPr="00AC79D3">
        <w:rPr>
          <w:i/>
        </w:rPr>
        <w:t>R1 -</w:t>
      </w:r>
      <w:r w:rsidR="004369A8" w:rsidRPr="00AC79D3">
        <w:rPr>
          <w:i/>
        </w:rPr>
        <w:t>Poticanje međunarodne mobilnosti i međunarodne međuinstitucionalne suradnje kroz sufinanciranje odlazne i dolazne međunarodne mobilnosti nastavnika ili suradnika koja uključuje održavanje nastave na inozemnom visokom učilištu</w:t>
      </w:r>
    </w:p>
    <w:p w:rsidR="004369A8" w:rsidRPr="00AC79D3" w:rsidRDefault="0003694E" w:rsidP="0003694E">
      <w:pPr>
        <w:pStyle w:val="ListParagraph"/>
        <w:spacing w:before="240"/>
        <w:ind w:left="1068"/>
        <w:jc w:val="both"/>
        <w:rPr>
          <w:i/>
        </w:rPr>
      </w:pPr>
      <w:r w:rsidRPr="00AC79D3">
        <w:rPr>
          <w:i/>
        </w:rPr>
        <w:t xml:space="preserve">R2 - </w:t>
      </w:r>
      <w:r w:rsidR="004369A8" w:rsidRPr="00AC79D3">
        <w:rPr>
          <w:i/>
        </w:rPr>
        <w:t xml:space="preserve">Dovršetak obnove infrastrukture novog Sveučilišnog </w:t>
      </w:r>
      <w:proofErr w:type="spellStart"/>
      <w:r w:rsidR="004369A8" w:rsidRPr="00AC79D3">
        <w:rPr>
          <w:i/>
        </w:rPr>
        <w:t>kampusa</w:t>
      </w:r>
      <w:proofErr w:type="spellEnd"/>
    </w:p>
    <w:p w:rsidR="004369A8" w:rsidRPr="00AC79D3" w:rsidRDefault="0003694E" w:rsidP="0003694E">
      <w:pPr>
        <w:pStyle w:val="ListParagraph"/>
        <w:spacing w:before="240"/>
        <w:ind w:left="1068"/>
        <w:jc w:val="both"/>
        <w:rPr>
          <w:i/>
        </w:rPr>
      </w:pPr>
      <w:r w:rsidRPr="00AC79D3">
        <w:rPr>
          <w:i/>
        </w:rPr>
        <w:t xml:space="preserve">R3 - </w:t>
      </w:r>
      <w:r w:rsidR="004369A8" w:rsidRPr="00AC79D3">
        <w:rPr>
          <w:i/>
        </w:rPr>
        <w:t>Modernizacija studijskih programa  - uvođenje suvremenih metoda i tehnologija poučavanja u nastavi</w:t>
      </w:r>
    </w:p>
    <w:p w:rsidR="004369A8" w:rsidRPr="00AC79D3" w:rsidRDefault="0003694E" w:rsidP="0003694E">
      <w:pPr>
        <w:pStyle w:val="ListParagraph"/>
        <w:spacing w:before="240"/>
        <w:ind w:left="1068"/>
        <w:jc w:val="both"/>
        <w:rPr>
          <w:i/>
        </w:rPr>
      </w:pPr>
      <w:r w:rsidRPr="00AC79D3">
        <w:rPr>
          <w:i/>
        </w:rPr>
        <w:t xml:space="preserve">R4 - </w:t>
      </w:r>
      <w:r w:rsidR="004369A8" w:rsidRPr="00AC79D3">
        <w:rPr>
          <w:i/>
        </w:rPr>
        <w:t>Rekonstrukcija i adaptacija studentske infrastrukture</w:t>
      </w:r>
    </w:p>
    <w:p w:rsidR="004369A8" w:rsidRPr="00AC79D3" w:rsidRDefault="0003694E" w:rsidP="0003694E">
      <w:pPr>
        <w:pStyle w:val="ListParagraph"/>
        <w:spacing w:before="240"/>
        <w:ind w:left="1068"/>
        <w:jc w:val="both"/>
        <w:rPr>
          <w:i/>
        </w:rPr>
      </w:pPr>
      <w:r w:rsidRPr="00AC79D3">
        <w:rPr>
          <w:i/>
        </w:rPr>
        <w:t xml:space="preserve">R5 - </w:t>
      </w:r>
      <w:r w:rsidR="004369A8" w:rsidRPr="00AC79D3">
        <w:rPr>
          <w:i/>
        </w:rPr>
        <w:t>Suradnja Sveučilišta  i javnih tijela – JLPRS u projektima od javnog interesa</w:t>
      </w:r>
    </w:p>
    <w:p w:rsidR="004369A8" w:rsidRDefault="0003694E" w:rsidP="0003694E">
      <w:pPr>
        <w:pStyle w:val="ListParagraph"/>
        <w:spacing w:before="240"/>
        <w:ind w:left="1068"/>
        <w:jc w:val="both"/>
        <w:rPr>
          <w:i/>
        </w:rPr>
      </w:pPr>
      <w:r w:rsidRPr="00AC79D3">
        <w:rPr>
          <w:i/>
        </w:rPr>
        <w:t xml:space="preserve">R6 - </w:t>
      </w:r>
      <w:r w:rsidR="004369A8" w:rsidRPr="00AC79D3">
        <w:rPr>
          <w:i/>
        </w:rPr>
        <w:t>Unaprjeđenje  studija iz područja prirodnih, tehničkih, biotehničkih znanosti te biomedicine i zdravstva</w:t>
      </w:r>
    </w:p>
    <w:p w:rsidR="00DB18DD" w:rsidRDefault="00DB18DD" w:rsidP="0003694E">
      <w:pPr>
        <w:pStyle w:val="ListParagraph"/>
        <w:spacing w:before="240"/>
        <w:ind w:left="1068"/>
        <w:jc w:val="both"/>
        <w:rPr>
          <w:i/>
        </w:rPr>
      </w:pPr>
    </w:p>
    <w:p w:rsidR="00DB18DD" w:rsidRPr="00AC79D3" w:rsidRDefault="00DB18DD" w:rsidP="0003694E">
      <w:pPr>
        <w:pStyle w:val="ListParagraph"/>
        <w:spacing w:before="240"/>
        <w:ind w:left="1068"/>
        <w:jc w:val="both"/>
        <w:rPr>
          <w:i/>
        </w:rPr>
      </w:pPr>
    </w:p>
    <w:p w:rsidR="00AC641F" w:rsidRDefault="00AC641F" w:rsidP="00DB18DD">
      <w:pPr>
        <w:pStyle w:val="ListParagraph"/>
        <w:numPr>
          <w:ilvl w:val="0"/>
          <w:numId w:val="31"/>
        </w:numPr>
        <w:spacing w:before="240"/>
        <w:jc w:val="both"/>
        <w:rPr>
          <w:i/>
        </w:rPr>
      </w:pPr>
      <w:r w:rsidRPr="00DB18DD">
        <w:rPr>
          <w:i/>
        </w:rPr>
        <w:t>Izvedbena komponenta</w:t>
      </w:r>
    </w:p>
    <w:p w:rsidR="00AC79D3" w:rsidRPr="00AC79D3" w:rsidRDefault="00AC79D3" w:rsidP="00AC79D3">
      <w:pPr>
        <w:spacing w:before="240"/>
        <w:ind w:left="708"/>
        <w:jc w:val="both"/>
        <w:rPr>
          <w:i/>
        </w:rPr>
      </w:pPr>
      <w:r w:rsidRPr="00AC79D3">
        <w:rPr>
          <w:i/>
        </w:rPr>
        <w:t>Izvedbena komponenta planirana je u iznosu od 558.351 EUR u 2026, 555.647,26 EUR u 2027. i 556.591 EUR u 2028. godini. Razvojna komponenta obuhvaća slijedeće aktivnosti:</w:t>
      </w:r>
    </w:p>
    <w:p w:rsidR="00AC79D3" w:rsidRPr="00AC79D3" w:rsidRDefault="00AC79D3" w:rsidP="00AC79D3">
      <w:pPr>
        <w:pStyle w:val="ListParagraph"/>
        <w:spacing w:before="240"/>
        <w:ind w:left="1068"/>
        <w:jc w:val="both"/>
        <w:rPr>
          <w:i/>
        </w:rPr>
      </w:pPr>
      <w:r w:rsidRPr="00AC79D3">
        <w:rPr>
          <w:i/>
        </w:rPr>
        <w:t>I2 -</w:t>
      </w:r>
      <w:r w:rsidRPr="00AC79D3">
        <w:t xml:space="preserve"> </w:t>
      </w:r>
      <w:r w:rsidRPr="00AC79D3">
        <w:rPr>
          <w:i/>
        </w:rPr>
        <w:t>Modernizacija studijskih programa - stjecanje praktičnih kompetencija studenata sudjelovanjem na nacionalnim i međunarodnim natjecanjima u području studija</w:t>
      </w:r>
    </w:p>
    <w:p w:rsidR="00AC79D3" w:rsidRPr="00AC79D3" w:rsidRDefault="00AC79D3" w:rsidP="00AC79D3">
      <w:pPr>
        <w:pStyle w:val="ListParagraph"/>
        <w:spacing w:before="240"/>
        <w:ind w:left="1068"/>
        <w:jc w:val="both"/>
        <w:rPr>
          <w:i/>
        </w:rPr>
      </w:pPr>
      <w:r w:rsidRPr="00AC79D3">
        <w:rPr>
          <w:i/>
        </w:rPr>
        <w:t xml:space="preserve">I5 - Izdavačka djelatnost Sveučilišta </w:t>
      </w:r>
    </w:p>
    <w:p w:rsidR="00AC79D3" w:rsidRPr="00AC79D3" w:rsidRDefault="00AC79D3" w:rsidP="00AC79D3">
      <w:pPr>
        <w:pStyle w:val="ListParagraph"/>
        <w:spacing w:before="240"/>
        <w:ind w:left="1068"/>
        <w:jc w:val="both"/>
        <w:rPr>
          <w:i/>
        </w:rPr>
      </w:pPr>
      <w:r w:rsidRPr="00AC79D3">
        <w:rPr>
          <w:i/>
        </w:rPr>
        <w:t>I6 - Organizacija i održavanje znanstvenih i stručnih skupova</w:t>
      </w:r>
    </w:p>
    <w:p w:rsidR="00AC79D3" w:rsidRPr="00AC79D3" w:rsidRDefault="00AC79D3" w:rsidP="00AC79D3">
      <w:pPr>
        <w:pStyle w:val="ListParagraph"/>
        <w:spacing w:before="240"/>
        <w:ind w:left="1068"/>
        <w:jc w:val="both"/>
        <w:rPr>
          <w:i/>
        </w:rPr>
      </w:pPr>
      <w:r w:rsidRPr="00AC79D3">
        <w:rPr>
          <w:i/>
        </w:rPr>
        <w:t>I7 - Provođenje programa kojima se jača društveni angažman sveučilišta u zajednici, pružanje usluga gospodarskim i javnim subjektima u razvoju obrazovanja i kulture</w:t>
      </w:r>
    </w:p>
    <w:p w:rsidR="00AC79D3" w:rsidRPr="00AC79D3" w:rsidRDefault="00AC79D3" w:rsidP="00AC79D3">
      <w:pPr>
        <w:pStyle w:val="ListParagraph"/>
        <w:spacing w:before="240"/>
        <w:ind w:left="1068"/>
        <w:jc w:val="both"/>
        <w:rPr>
          <w:i/>
        </w:rPr>
      </w:pPr>
      <w:r w:rsidRPr="00AC79D3">
        <w:rPr>
          <w:i/>
        </w:rPr>
        <w:t xml:space="preserve">I8 - Provođenje programa kojima se jača društveni angažman sveučilišta u zajednici - provedba radionica ili predavanja na temu promicanja različitosti, pravičnosti i socijalne </w:t>
      </w:r>
      <w:proofErr w:type="spellStart"/>
      <w:r w:rsidRPr="00AC79D3">
        <w:rPr>
          <w:i/>
        </w:rPr>
        <w:t>uključivosti</w:t>
      </w:r>
      <w:proofErr w:type="spellEnd"/>
    </w:p>
    <w:p w:rsidR="00AC79D3" w:rsidRPr="00AC79D3" w:rsidRDefault="00AC79D3" w:rsidP="00AC79D3">
      <w:pPr>
        <w:pStyle w:val="ListParagraph"/>
        <w:spacing w:before="240"/>
        <w:ind w:left="1068"/>
        <w:jc w:val="both"/>
        <w:rPr>
          <w:i/>
        </w:rPr>
      </w:pPr>
      <w:r w:rsidRPr="00AC79D3">
        <w:rPr>
          <w:i/>
        </w:rPr>
        <w:t>I9 - Poticanje međunarodne mobilnosti i međunarodne međuinstitucionalne suradnje kroz odlaznu i dolaznu međunarodnu mobilnost studenata</w:t>
      </w:r>
    </w:p>
    <w:p w:rsidR="00AC79D3" w:rsidRPr="00AC79D3" w:rsidRDefault="00AC79D3" w:rsidP="00AC79D3">
      <w:pPr>
        <w:pStyle w:val="ListParagraph"/>
        <w:spacing w:before="240"/>
        <w:ind w:left="1068"/>
        <w:jc w:val="both"/>
        <w:rPr>
          <w:i/>
        </w:rPr>
      </w:pPr>
      <w:r w:rsidRPr="00AC79D3">
        <w:rPr>
          <w:i/>
        </w:rPr>
        <w:t>I10 - Popularizacija znanosti i umjetnosti</w:t>
      </w:r>
    </w:p>
    <w:p w:rsidR="00AC79D3" w:rsidRPr="00AC79D3" w:rsidRDefault="00AC79D3" w:rsidP="00AC79D3">
      <w:pPr>
        <w:pStyle w:val="ListParagraph"/>
        <w:spacing w:before="240"/>
        <w:ind w:left="1068"/>
        <w:jc w:val="both"/>
        <w:rPr>
          <w:i/>
        </w:rPr>
      </w:pPr>
    </w:p>
    <w:p w:rsidR="00AC79D3" w:rsidRPr="00AC79D3" w:rsidRDefault="00AC79D3" w:rsidP="00AC79D3">
      <w:pPr>
        <w:pStyle w:val="ListParagraph"/>
        <w:spacing w:before="240"/>
        <w:ind w:left="1068"/>
        <w:jc w:val="both"/>
        <w:rPr>
          <w:i/>
        </w:rPr>
      </w:pPr>
      <w:r w:rsidRPr="00AC79D3">
        <w:rPr>
          <w:i/>
        </w:rPr>
        <w:t>Ove navedene aktivnosti planirane su na izvoru 11 u ukupnom iznosu od 73.688 EUR u 2026, 79.278 EUR u 2027 i 76.574 u 2028. godini.</w:t>
      </w:r>
    </w:p>
    <w:p w:rsidR="008B3C76" w:rsidRDefault="008B3C76" w:rsidP="00AC79D3">
      <w:pPr>
        <w:pStyle w:val="ListParagraph"/>
        <w:spacing w:before="240"/>
        <w:ind w:left="1068"/>
        <w:jc w:val="both"/>
        <w:rPr>
          <w:i/>
        </w:rPr>
      </w:pPr>
    </w:p>
    <w:p w:rsidR="00AC79D3" w:rsidRPr="00AC79D3" w:rsidRDefault="00AC79D3" w:rsidP="00AC79D3">
      <w:pPr>
        <w:pStyle w:val="ListParagraph"/>
        <w:spacing w:before="240"/>
        <w:ind w:left="1068"/>
        <w:jc w:val="both"/>
        <w:rPr>
          <w:i/>
        </w:rPr>
      </w:pPr>
      <w:r w:rsidRPr="00AC79D3">
        <w:rPr>
          <w:i/>
        </w:rPr>
        <w:t>Istodobno je u okviru Izvedbene komponente u sve tri godine planiran iznos od po 496.973 EUR godišnje u okviru</w:t>
      </w:r>
      <w:r w:rsidR="008B3C76">
        <w:rPr>
          <w:i/>
        </w:rPr>
        <w:t xml:space="preserve"> </w:t>
      </w:r>
      <w:r w:rsidRPr="00AC79D3">
        <w:rPr>
          <w:i/>
        </w:rPr>
        <w:t xml:space="preserve">I4 - Prijave i realizacije kompetitivnih projekata iz NPOO, a koji će se </w:t>
      </w:r>
      <w:r w:rsidRPr="00AC79D3">
        <w:rPr>
          <w:i/>
        </w:rPr>
        <w:lastRenderedPageBreak/>
        <w:t>pratiti na izvoru 58100</w:t>
      </w:r>
      <w:r w:rsidR="008B3C76">
        <w:rPr>
          <w:i/>
        </w:rPr>
        <w:t>,  što je obuhvaćeno aktivnošću državnog proračuna A679136 (naredno poglavlje)</w:t>
      </w:r>
      <w:r w:rsidR="006E37EB">
        <w:rPr>
          <w:i/>
        </w:rPr>
        <w:t>.</w:t>
      </w:r>
    </w:p>
    <w:p w:rsidR="00AC79D3" w:rsidRDefault="00AC79D3" w:rsidP="00AC79D3">
      <w:pPr>
        <w:pStyle w:val="ListParagraph"/>
        <w:spacing w:before="240"/>
        <w:ind w:left="1068"/>
        <w:jc w:val="both"/>
        <w:rPr>
          <w:i/>
          <w:highlight w:val="cyan"/>
        </w:rPr>
      </w:pPr>
    </w:p>
    <w:p w:rsidR="00AC79D3" w:rsidRDefault="00AC79D3" w:rsidP="00AC79D3">
      <w:pPr>
        <w:pStyle w:val="ListParagraph"/>
        <w:spacing w:before="240"/>
        <w:ind w:left="1068"/>
        <w:jc w:val="both"/>
        <w:rPr>
          <w:i/>
          <w:highlight w:val="cyan"/>
        </w:rPr>
      </w:pPr>
    </w:p>
    <w:p w:rsidR="00B95504" w:rsidRDefault="00B95504" w:rsidP="00AC79D3">
      <w:pPr>
        <w:pStyle w:val="ListParagraph"/>
        <w:spacing w:before="240"/>
        <w:ind w:left="1068"/>
        <w:jc w:val="both"/>
        <w:rPr>
          <w:i/>
          <w:highlight w:val="cyan"/>
        </w:rPr>
      </w:pPr>
    </w:p>
    <w:p w:rsidR="00B95504" w:rsidRDefault="00B95504" w:rsidP="00AC79D3">
      <w:pPr>
        <w:pStyle w:val="ListParagraph"/>
        <w:spacing w:before="240"/>
        <w:ind w:left="1068"/>
        <w:jc w:val="both"/>
        <w:rPr>
          <w:i/>
          <w:highlight w:val="cyan"/>
        </w:rPr>
      </w:pPr>
    </w:p>
    <w:p w:rsidR="00AC79D3" w:rsidRPr="00B95504" w:rsidRDefault="00AC79D3" w:rsidP="00AC79D3">
      <w:pPr>
        <w:pStyle w:val="ListParagraph"/>
        <w:spacing w:before="240"/>
        <w:ind w:left="1068"/>
        <w:jc w:val="both"/>
        <w:rPr>
          <w:rFonts w:ascii="Times New Roman" w:eastAsia="SignaPro-CondBold" w:hAnsi="Times New Roman" w:cs="Times New Roman"/>
          <w:sz w:val="24"/>
          <w:szCs w:val="24"/>
          <w:lang w:eastAsia="en-GB"/>
        </w:rPr>
      </w:pPr>
    </w:p>
    <w:p w:rsidR="00531451" w:rsidRPr="00B95504" w:rsidRDefault="00CE7622" w:rsidP="00531451">
      <w:pPr>
        <w:jc w:val="both"/>
        <w:rPr>
          <w:rFonts w:eastAsia="SignaPro-CondBold"/>
        </w:rPr>
      </w:pPr>
      <w:r w:rsidRPr="00B95504">
        <w:rPr>
          <w:rFonts w:eastAsia="SignaPro-CondBold"/>
        </w:rPr>
        <w:t>Člankom 2</w:t>
      </w:r>
      <w:r w:rsidR="00B95504">
        <w:rPr>
          <w:rFonts w:eastAsia="SignaPro-CondBold"/>
        </w:rPr>
        <w:t xml:space="preserve">. </w:t>
      </w:r>
      <w:r w:rsidRPr="00B95504">
        <w:rPr>
          <w:rFonts w:eastAsia="SignaPro-CondBold"/>
        </w:rPr>
        <w:t xml:space="preserve"> Programskog ugovora od </w:t>
      </w:r>
      <w:r w:rsidR="00B95504" w:rsidRPr="00B95504">
        <w:rPr>
          <w:rFonts w:eastAsia="SignaPro-CondBold"/>
        </w:rPr>
        <w:t>rujna 2025 definirani su strateški ciljevi Sveučilište mora ostvariti:</w:t>
      </w:r>
    </w:p>
    <w:p w:rsidR="00B95504" w:rsidRPr="00FE5BA1" w:rsidRDefault="00B95504" w:rsidP="00B95504">
      <w:pPr>
        <w:pStyle w:val="ListParagraph"/>
        <w:numPr>
          <w:ilvl w:val="0"/>
          <w:numId w:val="37"/>
        </w:numPr>
        <w:autoSpaceDE w:val="0"/>
        <w:autoSpaceDN w:val="0"/>
        <w:adjustRightInd w:val="0"/>
        <w:spacing w:after="200" w:line="276" w:lineRule="auto"/>
        <w:jc w:val="both"/>
        <w:rPr>
          <w:rFonts w:ascii="Times New Roman" w:eastAsia="SignaPro-CondBold" w:hAnsi="Times New Roman"/>
        </w:rPr>
      </w:pPr>
      <w:r w:rsidRPr="00B95504">
        <w:rPr>
          <w:rFonts w:ascii="Times New Roman" w:eastAsia="SignaPro-CondBold" w:hAnsi="Times New Roman" w:cs="Times New Roman"/>
          <w:sz w:val="24"/>
          <w:szCs w:val="24"/>
          <w:lang w:eastAsia="en-GB"/>
        </w:rPr>
        <w:t>podizanje</w:t>
      </w:r>
      <w:r w:rsidRPr="00FE5BA1">
        <w:rPr>
          <w:rFonts w:ascii="Times New Roman" w:eastAsia="SignaPro-CondBold" w:hAnsi="Times New Roman"/>
        </w:rPr>
        <w:t xml:space="preserve"> znanstvene izvrsnosti</w:t>
      </w:r>
    </w:p>
    <w:p w:rsidR="00B95504" w:rsidRDefault="00B95504" w:rsidP="00B95504">
      <w:pPr>
        <w:pStyle w:val="ListParagraph"/>
        <w:numPr>
          <w:ilvl w:val="0"/>
          <w:numId w:val="37"/>
        </w:numPr>
        <w:autoSpaceDE w:val="0"/>
        <w:autoSpaceDN w:val="0"/>
        <w:adjustRightInd w:val="0"/>
        <w:spacing w:after="200" w:line="276" w:lineRule="auto"/>
        <w:jc w:val="both"/>
        <w:rPr>
          <w:rFonts w:ascii="Times New Roman" w:eastAsia="SignaPro-CondBold" w:hAnsi="Times New Roman"/>
        </w:rPr>
      </w:pPr>
      <w:r w:rsidRPr="00FE5BA1">
        <w:rPr>
          <w:rFonts w:ascii="Times New Roman" w:eastAsia="SignaPro-CondBold" w:hAnsi="Times New Roman"/>
        </w:rPr>
        <w:t>jačanje suradnje s gospodarstvom te razvoj nacionalnog i regionalnog identiteta i kulture</w:t>
      </w:r>
    </w:p>
    <w:p w:rsidR="00B95504" w:rsidRPr="00FE5BA1" w:rsidRDefault="00B95504" w:rsidP="00B95504">
      <w:pPr>
        <w:pStyle w:val="ListParagraph"/>
        <w:numPr>
          <w:ilvl w:val="0"/>
          <w:numId w:val="37"/>
        </w:numPr>
        <w:autoSpaceDE w:val="0"/>
        <w:autoSpaceDN w:val="0"/>
        <w:adjustRightInd w:val="0"/>
        <w:spacing w:after="200" w:line="276" w:lineRule="auto"/>
        <w:jc w:val="both"/>
        <w:rPr>
          <w:rFonts w:ascii="Times New Roman" w:eastAsia="SignaPro-CondBold" w:hAnsi="Times New Roman"/>
        </w:rPr>
      </w:pPr>
      <w:r>
        <w:rPr>
          <w:rFonts w:ascii="Times New Roman" w:eastAsia="SignaPro-CondBold" w:hAnsi="Times New Roman"/>
        </w:rPr>
        <w:t>p</w:t>
      </w:r>
      <w:r w:rsidRPr="00D55E60">
        <w:rPr>
          <w:rFonts w:ascii="Times New Roman" w:eastAsia="SignaPro-CondBold" w:hAnsi="Times New Roman"/>
        </w:rPr>
        <w:t>ovećanje relevantnosti, kvalitete i učinkovitosti studiranja</w:t>
      </w:r>
    </w:p>
    <w:p w:rsidR="00B95504" w:rsidRDefault="00B95504" w:rsidP="00B95504">
      <w:pPr>
        <w:pStyle w:val="ListParagraph"/>
        <w:numPr>
          <w:ilvl w:val="0"/>
          <w:numId w:val="37"/>
        </w:numPr>
        <w:autoSpaceDE w:val="0"/>
        <w:autoSpaceDN w:val="0"/>
        <w:adjustRightInd w:val="0"/>
        <w:spacing w:after="200" w:line="276" w:lineRule="auto"/>
        <w:jc w:val="both"/>
        <w:rPr>
          <w:rFonts w:eastAsia="SignaPro-CondBold"/>
        </w:rPr>
      </w:pPr>
      <w:r w:rsidRPr="00FE5BA1">
        <w:rPr>
          <w:rFonts w:ascii="Times New Roman" w:eastAsia="SignaPro-CondBold" w:hAnsi="Times New Roman"/>
        </w:rPr>
        <w:t>jačanje društvene odgovornosti</w:t>
      </w:r>
      <w:r w:rsidRPr="00FE5BA1">
        <w:rPr>
          <w:rFonts w:eastAsia="SignaPro-CondBold"/>
        </w:rPr>
        <w:t>.</w:t>
      </w:r>
    </w:p>
    <w:p w:rsidR="00B95504" w:rsidRDefault="00B95504" w:rsidP="00B95504">
      <w:pPr>
        <w:autoSpaceDE w:val="0"/>
        <w:autoSpaceDN w:val="0"/>
        <w:adjustRightInd w:val="0"/>
        <w:jc w:val="both"/>
        <w:rPr>
          <w:rFonts w:eastAsia="SignaPro-CondBold"/>
        </w:rPr>
      </w:pPr>
      <w:r>
        <w:rPr>
          <w:rFonts w:eastAsia="SignaPro-CondBold"/>
        </w:rPr>
        <w:t xml:space="preserve">Posebni ciljevi koje Sveučilište mora ostvariti u sklopu ugovorenoga programskoga razdoblja, mjerljivi pokazatelji ostvarivanja ugovorenih ciljeva te opis razvojnih i izvedbenih aktivnosti, procjena financijskoga iznosa aktivnosti te njihov doprinos ostvarenju ugovorenih ciljeva sadržani su u </w:t>
      </w:r>
      <w:r w:rsidRPr="0086051D">
        <w:rPr>
          <w:rFonts w:eastAsia="SignaPro-CondBold"/>
        </w:rPr>
        <w:t>Prilogu 2. Prijedlog programskog ugovora Sveučilišta s prijedlogom razvojne i izvedbene proračunske komponente, Prilogu 3. Struktura aktivnosti, pokazatelja i ciljeva, Prilogu 4. Biblioteka ciljeva i pokazatelja te Prilogu 5</w:t>
      </w:r>
      <w:r>
        <w:rPr>
          <w:rFonts w:eastAsia="SignaPro-CondBold"/>
        </w:rPr>
        <w:t>. Sažetak financijskog plana</w:t>
      </w:r>
      <w:r w:rsidRPr="0086051D">
        <w:rPr>
          <w:rFonts w:eastAsia="SignaPro-CondBold"/>
        </w:rPr>
        <w:t>, koji su sastavni dijelovi ovog</w:t>
      </w:r>
      <w:r w:rsidRPr="0046687B">
        <w:rPr>
          <w:rFonts w:eastAsia="SignaPro-CondBold"/>
        </w:rPr>
        <w:t xml:space="preserve"> Ugovora</w:t>
      </w:r>
      <w:r>
        <w:rPr>
          <w:rFonts w:eastAsia="SignaPro-CondBold"/>
        </w:rPr>
        <w:t>.</w:t>
      </w:r>
    </w:p>
    <w:p w:rsidR="00B95504" w:rsidRDefault="00B95504" w:rsidP="00531451">
      <w:pPr>
        <w:jc w:val="both"/>
        <w:rPr>
          <w:i/>
          <w:highlight w:val="cyan"/>
        </w:rPr>
      </w:pPr>
    </w:p>
    <w:p w:rsidR="00B95504" w:rsidRDefault="00B95504" w:rsidP="00531451">
      <w:pPr>
        <w:jc w:val="both"/>
        <w:rPr>
          <w:i/>
          <w:highlight w:val="cyan"/>
        </w:rPr>
      </w:pPr>
    </w:p>
    <w:p w:rsidR="00B95504" w:rsidRDefault="00B95504" w:rsidP="00B95504">
      <w:pPr>
        <w:jc w:val="both"/>
      </w:pPr>
      <w:r w:rsidRPr="1122C945">
        <w:t>Smjer budućeg razvoja i pozicioniranje u hrvatskom i europskom obrazovnom i znanstvenom prostoru definirani su Strategijom razvoja Sveučilišta Jurja Dobrile u Puli kroz četiri strateška područja</w:t>
      </w:r>
      <w:r>
        <w:t>.</w:t>
      </w:r>
    </w:p>
    <w:p w:rsidR="00B95504" w:rsidRDefault="00B95504" w:rsidP="00B95504">
      <w:pPr>
        <w:jc w:val="both"/>
      </w:pPr>
    </w:p>
    <w:p w:rsidR="00B95504" w:rsidRDefault="00B95504" w:rsidP="00B95504">
      <w:pPr>
        <w:jc w:val="both"/>
      </w:pPr>
      <w:r w:rsidRPr="1122C945">
        <w:rPr>
          <w:rFonts w:ascii="Calibri" w:eastAsia="Calibri" w:hAnsi="Calibri" w:cs="Calibri"/>
          <w:color w:val="000000" w:themeColor="text1"/>
        </w:rPr>
        <w:t>Strateško područje I:</w:t>
      </w:r>
    </w:p>
    <w:p w:rsidR="00B95504" w:rsidRDefault="00B95504" w:rsidP="00B95504">
      <w:pPr>
        <w:jc w:val="both"/>
      </w:pPr>
      <w:r w:rsidRPr="1122C945">
        <w:rPr>
          <w:rFonts w:ascii="Calibri" w:eastAsia="Calibri" w:hAnsi="Calibri" w:cs="Calibri"/>
          <w:color w:val="000000" w:themeColor="text1"/>
        </w:rPr>
        <w:t>INSTITUCIONALIZACIJA I STRATEŠKI MENADŽMENT</w:t>
      </w:r>
    </w:p>
    <w:p w:rsidR="00B95504" w:rsidRDefault="00B95504" w:rsidP="00B95504">
      <w:pPr>
        <w:jc w:val="both"/>
      </w:pPr>
      <w:r w:rsidRPr="1122C945">
        <w:rPr>
          <w:rFonts w:ascii="Calibri" w:eastAsia="Calibri" w:hAnsi="Calibri" w:cs="Calibri"/>
          <w:color w:val="000000" w:themeColor="text1"/>
        </w:rPr>
        <w:t>Ustroj novog organizacijskog modela upravljanja u cilju unaprjeđenja razvoja</w:t>
      </w:r>
    </w:p>
    <w:p w:rsidR="00B95504" w:rsidRDefault="00B95504" w:rsidP="00B95504">
      <w:pPr>
        <w:jc w:val="both"/>
      </w:pPr>
      <w:r w:rsidRPr="1122C945">
        <w:rPr>
          <w:rFonts w:ascii="Calibri" w:eastAsia="Calibri" w:hAnsi="Calibri" w:cs="Calibri"/>
          <w:color w:val="000000" w:themeColor="text1"/>
        </w:rPr>
        <w:t>i jasnog komuniciranja institucionalnih vrijednosti</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Cilj 1. Osiguranje prostornih resursa</w:t>
      </w:r>
    </w:p>
    <w:p w:rsidR="00B95504" w:rsidRDefault="00B95504" w:rsidP="00B95504">
      <w:pPr>
        <w:jc w:val="both"/>
      </w:pPr>
      <w:r w:rsidRPr="1122C945">
        <w:rPr>
          <w:rFonts w:ascii="Calibri" w:eastAsia="Calibri" w:hAnsi="Calibri" w:cs="Calibri"/>
          <w:color w:val="000000" w:themeColor="text1"/>
        </w:rPr>
        <w:t>Cilj 2. Unaprjeđenje upravljanja ljudskim kapitalom</w:t>
      </w:r>
    </w:p>
    <w:p w:rsidR="00B95504" w:rsidRDefault="00B95504" w:rsidP="00B95504">
      <w:pPr>
        <w:jc w:val="both"/>
      </w:pPr>
      <w:r w:rsidRPr="1122C945">
        <w:rPr>
          <w:rFonts w:ascii="Calibri" w:eastAsia="Calibri" w:hAnsi="Calibri" w:cs="Calibri"/>
          <w:color w:val="000000" w:themeColor="text1"/>
        </w:rPr>
        <w:t>Cilj 3. Razvoj sustava upravljanja</w:t>
      </w:r>
    </w:p>
    <w:p w:rsidR="00B95504" w:rsidRDefault="00B95504" w:rsidP="00B95504">
      <w:pPr>
        <w:jc w:val="both"/>
      </w:pPr>
      <w:r w:rsidRPr="1122C945">
        <w:rPr>
          <w:rFonts w:ascii="Calibri" w:eastAsia="Calibri" w:hAnsi="Calibri" w:cs="Calibri"/>
          <w:color w:val="000000" w:themeColor="text1"/>
        </w:rPr>
        <w:t xml:space="preserve">Cilj 4. Povezivanje zajednice umrežavanjem istraživača i studenata </w:t>
      </w:r>
    </w:p>
    <w:p w:rsidR="00B95504" w:rsidRDefault="00B95504" w:rsidP="00B95504">
      <w:pPr>
        <w:jc w:val="both"/>
      </w:pPr>
      <w:r w:rsidRPr="1122C945">
        <w:rPr>
          <w:rFonts w:ascii="Calibri" w:eastAsia="Calibri" w:hAnsi="Calibri" w:cs="Calibri"/>
          <w:color w:val="000000" w:themeColor="text1"/>
        </w:rPr>
        <w:t xml:space="preserve">Cilj 5. </w:t>
      </w:r>
      <w:proofErr w:type="spellStart"/>
      <w:r w:rsidRPr="1122C945">
        <w:rPr>
          <w:rFonts w:ascii="Calibri" w:eastAsia="Calibri" w:hAnsi="Calibri" w:cs="Calibri"/>
          <w:color w:val="000000" w:themeColor="text1"/>
        </w:rPr>
        <w:t>Brendiranje</w:t>
      </w:r>
      <w:proofErr w:type="spellEnd"/>
      <w:r w:rsidRPr="1122C945">
        <w:rPr>
          <w:rFonts w:ascii="Calibri" w:eastAsia="Calibri" w:hAnsi="Calibri" w:cs="Calibri"/>
          <w:color w:val="000000" w:themeColor="text1"/>
        </w:rPr>
        <w:t xml:space="preserve"> sveučilišta</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 xml:space="preserve">Strateško područje II. </w:t>
      </w:r>
    </w:p>
    <w:p w:rsidR="00B95504" w:rsidRDefault="00B95504" w:rsidP="00B95504">
      <w:pPr>
        <w:jc w:val="both"/>
      </w:pPr>
      <w:r w:rsidRPr="1122C945">
        <w:rPr>
          <w:rFonts w:ascii="Calibri" w:eastAsia="Calibri" w:hAnsi="Calibri" w:cs="Calibri"/>
          <w:color w:val="000000" w:themeColor="text1"/>
        </w:rPr>
        <w:t>INTEGRATIVNO PODUZETNIČKO SVEUČILIŠTE</w:t>
      </w:r>
    </w:p>
    <w:p w:rsidR="00B95504" w:rsidRDefault="00B95504" w:rsidP="00B95504">
      <w:pPr>
        <w:jc w:val="both"/>
      </w:pPr>
      <w:r w:rsidRPr="1122C945">
        <w:rPr>
          <w:rFonts w:ascii="Calibri" w:eastAsia="Calibri" w:hAnsi="Calibri" w:cs="Calibri"/>
          <w:color w:val="000000" w:themeColor="text1"/>
        </w:rPr>
        <w:t>Iskorak prema poduzetničkom sveučilištu kao razvojnom čimbeniku</w:t>
      </w:r>
    </w:p>
    <w:p w:rsidR="00B95504" w:rsidRDefault="00B95504" w:rsidP="00B95504">
      <w:pPr>
        <w:jc w:val="both"/>
      </w:pPr>
      <w:r w:rsidRPr="1122C945">
        <w:rPr>
          <w:rFonts w:ascii="Calibri" w:eastAsia="Calibri" w:hAnsi="Calibri" w:cs="Calibri"/>
          <w:color w:val="000000" w:themeColor="text1"/>
        </w:rPr>
        <w:t>zajednice i okruženja te priznatog međunarodnog ugleda</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Cilj 1. Uspostava poduzetničke infrastrukture</w:t>
      </w:r>
    </w:p>
    <w:p w:rsidR="00B95504" w:rsidRDefault="00B95504" w:rsidP="00B95504">
      <w:pPr>
        <w:jc w:val="both"/>
      </w:pPr>
      <w:r w:rsidRPr="1122C945">
        <w:rPr>
          <w:rFonts w:ascii="Calibri" w:eastAsia="Calibri" w:hAnsi="Calibri" w:cs="Calibri"/>
          <w:color w:val="000000" w:themeColor="text1"/>
        </w:rPr>
        <w:t>Cilj 2. Sveučilište kao pokretač i partner gospodarskog razvoja regije</w:t>
      </w:r>
    </w:p>
    <w:p w:rsidR="00B95504" w:rsidRDefault="00B95504" w:rsidP="00B95504">
      <w:pPr>
        <w:jc w:val="both"/>
      </w:pPr>
      <w:r w:rsidRPr="1122C945">
        <w:rPr>
          <w:rFonts w:ascii="Calibri" w:eastAsia="Calibri" w:hAnsi="Calibri" w:cs="Calibri"/>
          <w:color w:val="000000" w:themeColor="text1"/>
        </w:rPr>
        <w:t>Cilj 3. Podizanje međunarodnog ugleda i međunarodne prepoznatljivosti</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Strateško područje III.</w:t>
      </w:r>
    </w:p>
    <w:p w:rsidR="00B95504" w:rsidRDefault="00B95504" w:rsidP="00B95504">
      <w:pPr>
        <w:jc w:val="both"/>
      </w:pPr>
      <w:r w:rsidRPr="1122C945">
        <w:rPr>
          <w:rFonts w:ascii="Calibri" w:eastAsia="Calibri" w:hAnsi="Calibri" w:cs="Calibri"/>
          <w:color w:val="000000" w:themeColor="text1"/>
        </w:rPr>
        <w:lastRenderedPageBreak/>
        <w:t>ZNANSTVENO – NASTAVNA IZVRSNOST, UMJETNIČKO</w:t>
      </w:r>
    </w:p>
    <w:p w:rsidR="00B95504" w:rsidRDefault="00B95504" w:rsidP="00B95504">
      <w:pPr>
        <w:jc w:val="both"/>
      </w:pPr>
      <w:r w:rsidRPr="1122C945">
        <w:rPr>
          <w:rFonts w:ascii="Calibri" w:eastAsia="Calibri" w:hAnsi="Calibri" w:cs="Calibri"/>
          <w:color w:val="000000" w:themeColor="text1"/>
        </w:rPr>
        <w:t>STVARALAŠTVO I ISTRAŽIVANJE</w:t>
      </w:r>
    </w:p>
    <w:p w:rsidR="00B95504" w:rsidRDefault="00B95504" w:rsidP="00B95504">
      <w:pPr>
        <w:jc w:val="both"/>
      </w:pPr>
      <w:r w:rsidRPr="1122C945">
        <w:rPr>
          <w:rFonts w:ascii="Calibri" w:eastAsia="Calibri" w:hAnsi="Calibri" w:cs="Calibri"/>
          <w:color w:val="000000" w:themeColor="text1"/>
        </w:rPr>
        <w:t>Afirmiranje stvaralaštva i inovacijske politike kroz visoke standarde</w:t>
      </w:r>
    </w:p>
    <w:p w:rsidR="00B95504" w:rsidRDefault="00B95504" w:rsidP="00B95504">
      <w:pPr>
        <w:jc w:val="both"/>
      </w:pPr>
      <w:r w:rsidRPr="1122C945">
        <w:rPr>
          <w:rFonts w:ascii="Calibri" w:eastAsia="Calibri" w:hAnsi="Calibri" w:cs="Calibri"/>
          <w:color w:val="000000" w:themeColor="text1"/>
        </w:rPr>
        <w:t>kvalitete istraživačkih procesa i aktivnosti</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Cilj 1. Jačanje istraživačkog integriteta</w:t>
      </w:r>
    </w:p>
    <w:p w:rsidR="00B95504" w:rsidRDefault="00B95504" w:rsidP="00B95504">
      <w:pPr>
        <w:jc w:val="both"/>
      </w:pPr>
      <w:r w:rsidRPr="1122C945">
        <w:rPr>
          <w:rFonts w:ascii="Calibri" w:eastAsia="Calibri" w:hAnsi="Calibri" w:cs="Calibri"/>
          <w:color w:val="000000" w:themeColor="text1"/>
        </w:rPr>
        <w:t>Cilj 2. Dinamično i inovativno sveučilište</w:t>
      </w:r>
    </w:p>
    <w:p w:rsidR="00B95504" w:rsidRDefault="00B95504" w:rsidP="00B95504">
      <w:pPr>
        <w:jc w:val="both"/>
      </w:pPr>
      <w:r w:rsidRPr="1122C945">
        <w:rPr>
          <w:rFonts w:ascii="Calibri" w:eastAsia="Calibri" w:hAnsi="Calibri" w:cs="Calibri"/>
          <w:color w:val="000000" w:themeColor="text1"/>
        </w:rPr>
        <w:t>Cilj 3. Unaprjeđenje poslijediplomskog obrazovanja</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Strateško područje IV.</w:t>
      </w:r>
    </w:p>
    <w:p w:rsidR="00B95504" w:rsidRDefault="00B95504" w:rsidP="00B95504">
      <w:pPr>
        <w:jc w:val="both"/>
      </w:pPr>
      <w:r w:rsidRPr="1122C945">
        <w:rPr>
          <w:rFonts w:ascii="Calibri" w:eastAsia="Calibri" w:hAnsi="Calibri" w:cs="Calibri"/>
          <w:color w:val="000000" w:themeColor="text1"/>
        </w:rPr>
        <w:t>PLATFORMA ORIGINALNOG STUDENTSKOG ISKUSTVA</w:t>
      </w:r>
    </w:p>
    <w:p w:rsidR="00B95504" w:rsidRDefault="00B95504" w:rsidP="00B95504">
      <w:pPr>
        <w:jc w:val="both"/>
      </w:pPr>
      <w:r w:rsidRPr="1122C945">
        <w:rPr>
          <w:rFonts w:ascii="Calibri" w:eastAsia="Calibri" w:hAnsi="Calibri" w:cs="Calibri"/>
          <w:color w:val="000000" w:themeColor="text1"/>
        </w:rPr>
        <w:t>Personaliziranim obrazovnim tehnologijama do visokokvalitetnog i</w:t>
      </w:r>
    </w:p>
    <w:p w:rsidR="00B95504" w:rsidRDefault="00B95504" w:rsidP="00B95504">
      <w:pPr>
        <w:jc w:val="both"/>
      </w:pPr>
      <w:r w:rsidRPr="1122C945">
        <w:rPr>
          <w:rFonts w:ascii="Calibri" w:eastAsia="Calibri" w:hAnsi="Calibri" w:cs="Calibri"/>
          <w:color w:val="000000" w:themeColor="text1"/>
        </w:rPr>
        <w:t>poticajnog okruženja</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pPr>
      <w:r w:rsidRPr="1122C945">
        <w:rPr>
          <w:rFonts w:ascii="Calibri" w:eastAsia="Calibri" w:hAnsi="Calibri" w:cs="Calibri"/>
          <w:color w:val="000000" w:themeColor="text1"/>
        </w:rPr>
        <w:t>Cilj 1. Strukturiranje tehnološko-edukativne platforme</w:t>
      </w:r>
    </w:p>
    <w:p w:rsidR="00B95504" w:rsidRDefault="00B95504" w:rsidP="00B95504">
      <w:pPr>
        <w:jc w:val="both"/>
      </w:pPr>
      <w:r w:rsidRPr="1122C945">
        <w:rPr>
          <w:rFonts w:ascii="Calibri" w:eastAsia="Calibri" w:hAnsi="Calibri" w:cs="Calibri"/>
          <w:color w:val="000000" w:themeColor="text1"/>
        </w:rPr>
        <w:t xml:space="preserve">Cilj 2. Unaprjeđenje i </w:t>
      </w:r>
      <w:proofErr w:type="spellStart"/>
      <w:r w:rsidRPr="1122C945">
        <w:rPr>
          <w:rFonts w:ascii="Calibri" w:eastAsia="Calibri" w:hAnsi="Calibri" w:cs="Calibri"/>
          <w:color w:val="000000" w:themeColor="text1"/>
        </w:rPr>
        <w:t>diverzifikacija</w:t>
      </w:r>
      <w:proofErr w:type="spellEnd"/>
      <w:r w:rsidRPr="1122C945">
        <w:rPr>
          <w:rFonts w:ascii="Calibri" w:eastAsia="Calibri" w:hAnsi="Calibri" w:cs="Calibri"/>
          <w:color w:val="000000" w:themeColor="text1"/>
        </w:rPr>
        <w:t xml:space="preserve"> studijskih programa i cjeloživotnog obrazovanja </w:t>
      </w:r>
    </w:p>
    <w:p w:rsidR="00B95504" w:rsidRDefault="00B95504" w:rsidP="00B95504">
      <w:pPr>
        <w:jc w:val="both"/>
      </w:pPr>
      <w:r w:rsidRPr="1122C945">
        <w:rPr>
          <w:rFonts w:ascii="Calibri" w:eastAsia="Calibri" w:hAnsi="Calibri" w:cs="Calibri"/>
          <w:color w:val="000000" w:themeColor="text1"/>
        </w:rPr>
        <w:t>Cilj 3. Na(do)</w:t>
      </w:r>
      <w:proofErr w:type="spellStart"/>
      <w:r w:rsidRPr="1122C945">
        <w:rPr>
          <w:rFonts w:ascii="Calibri" w:eastAsia="Calibri" w:hAnsi="Calibri" w:cs="Calibri"/>
          <w:color w:val="000000" w:themeColor="text1"/>
        </w:rPr>
        <w:t>građivanje</w:t>
      </w:r>
      <w:proofErr w:type="spellEnd"/>
      <w:r w:rsidRPr="1122C945">
        <w:rPr>
          <w:rFonts w:ascii="Calibri" w:eastAsia="Calibri" w:hAnsi="Calibri" w:cs="Calibri"/>
          <w:color w:val="000000" w:themeColor="text1"/>
        </w:rPr>
        <w:t xml:space="preserve"> i </w:t>
      </w:r>
      <w:proofErr w:type="spellStart"/>
      <w:r w:rsidRPr="1122C945">
        <w:rPr>
          <w:rFonts w:ascii="Calibri" w:eastAsia="Calibri" w:hAnsi="Calibri" w:cs="Calibri"/>
          <w:color w:val="000000" w:themeColor="text1"/>
        </w:rPr>
        <w:t>re</w:t>
      </w:r>
      <w:proofErr w:type="spellEnd"/>
      <w:r w:rsidRPr="1122C945">
        <w:rPr>
          <w:rFonts w:ascii="Calibri" w:eastAsia="Calibri" w:hAnsi="Calibri" w:cs="Calibri"/>
          <w:color w:val="000000" w:themeColor="text1"/>
        </w:rPr>
        <w:t>/kreiranje studentskog iskustva</w:t>
      </w:r>
    </w:p>
    <w:p w:rsidR="00B95504" w:rsidRDefault="00B95504" w:rsidP="00B95504">
      <w:pPr>
        <w:jc w:val="both"/>
      </w:pPr>
      <w:r w:rsidRPr="1122C945">
        <w:rPr>
          <w:rFonts w:ascii="Calibri" w:eastAsia="Calibri" w:hAnsi="Calibri" w:cs="Calibri"/>
          <w:color w:val="000000" w:themeColor="text1"/>
        </w:rPr>
        <w:t xml:space="preserve"> </w:t>
      </w:r>
    </w:p>
    <w:p w:rsidR="00B95504" w:rsidRDefault="00B95504" w:rsidP="00B95504">
      <w:pPr>
        <w:jc w:val="both"/>
        <w:rPr>
          <w:rFonts w:ascii="Calibri" w:eastAsia="Calibri" w:hAnsi="Calibri" w:cs="Calibri"/>
        </w:rPr>
      </w:pPr>
      <w:r w:rsidRPr="1122C945">
        <w:rPr>
          <w:rFonts w:ascii="Calibri" w:eastAsia="Calibri" w:hAnsi="Calibri" w:cs="Calibri"/>
          <w:color w:val="000000" w:themeColor="text1"/>
        </w:rPr>
        <w:t xml:space="preserve">Glavne točke razvoja obuhvaćaju daljnji razvoj prostornih kapaciteta i </w:t>
      </w:r>
      <w:proofErr w:type="spellStart"/>
      <w:r w:rsidRPr="1122C945">
        <w:rPr>
          <w:rFonts w:ascii="Calibri" w:eastAsia="Calibri" w:hAnsi="Calibri" w:cs="Calibri"/>
          <w:color w:val="000000" w:themeColor="text1"/>
        </w:rPr>
        <w:t>kampusa</w:t>
      </w:r>
      <w:proofErr w:type="spellEnd"/>
      <w:r w:rsidRPr="1122C945">
        <w:rPr>
          <w:rFonts w:ascii="Calibri" w:eastAsia="Calibri" w:hAnsi="Calibri" w:cs="Calibri"/>
          <w:color w:val="000000" w:themeColor="text1"/>
        </w:rPr>
        <w:t xml:space="preserve"> (osobito IRI infrastruktura), </w:t>
      </w:r>
      <w:proofErr w:type="spellStart"/>
      <w:r w:rsidRPr="1122C945">
        <w:rPr>
          <w:rFonts w:ascii="Calibri" w:eastAsia="Calibri" w:hAnsi="Calibri" w:cs="Calibri"/>
          <w:color w:val="000000" w:themeColor="text1"/>
        </w:rPr>
        <w:t>brendiranje</w:t>
      </w:r>
      <w:proofErr w:type="spellEnd"/>
      <w:r w:rsidRPr="1122C945">
        <w:rPr>
          <w:rFonts w:ascii="Calibri" w:eastAsia="Calibri" w:hAnsi="Calibri" w:cs="Calibri"/>
          <w:color w:val="000000" w:themeColor="text1"/>
        </w:rPr>
        <w:t xml:space="preserve"> kroz jasno komuniciranje jedinstvenih vrijednosti i poruka ciljanim skupinama, razvoj start-</w:t>
      </w:r>
      <w:proofErr w:type="spellStart"/>
      <w:r w:rsidRPr="1122C945">
        <w:rPr>
          <w:rFonts w:ascii="Calibri" w:eastAsia="Calibri" w:hAnsi="Calibri" w:cs="Calibri"/>
          <w:color w:val="000000" w:themeColor="text1"/>
        </w:rPr>
        <w:t>up</w:t>
      </w:r>
      <w:proofErr w:type="spellEnd"/>
      <w:r w:rsidRPr="1122C945">
        <w:rPr>
          <w:rFonts w:ascii="Calibri" w:eastAsia="Calibri" w:hAnsi="Calibri" w:cs="Calibri"/>
          <w:color w:val="000000" w:themeColor="text1"/>
        </w:rPr>
        <w:t xml:space="preserve"> </w:t>
      </w:r>
      <w:proofErr w:type="spellStart"/>
      <w:r w:rsidRPr="1122C945">
        <w:rPr>
          <w:rFonts w:ascii="Calibri" w:eastAsia="Calibri" w:hAnsi="Calibri" w:cs="Calibri"/>
          <w:color w:val="000000" w:themeColor="text1"/>
        </w:rPr>
        <w:t>kampusa</w:t>
      </w:r>
      <w:proofErr w:type="spellEnd"/>
      <w:r w:rsidRPr="1122C945">
        <w:rPr>
          <w:rFonts w:ascii="Calibri" w:eastAsia="Calibri" w:hAnsi="Calibri" w:cs="Calibri"/>
          <w:color w:val="000000" w:themeColor="text1"/>
        </w:rPr>
        <w:t xml:space="preserve"> (start-</w:t>
      </w:r>
      <w:proofErr w:type="spellStart"/>
      <w:r w:rsidRPr="1122C945">
        <w:rPr>
          <w:rFonts w:ascii="Calibri" w:eastAsia="Calibri" w:hAnsi="Calibri" w:cs="Calibri"/>
          <w:color w:val="000000" w:themeColor="text1"/>
        </w:rPr>
        <w:t>up</w:t>
      </w:r>
      <w:proofErr w:type="spellEnd"/>
      <w:r w:rsidRPr="1122C945">
        <w:rPr>
          <w:rFonts w:ascii="Calibri" w:eastAsia="Calibri" w:hAnsi="Calibri" w:cs="Calibri"/>
          <w:color w:val="000000" w:themeColor="text1"/>
        </w:rPr>
        <w:t xml:space="preserve"> organizacije osnažit će sveučilišne diplome studenata potvrđivanjem njihovog savladavanja poslovnih procesa), distance </w:t>
      </w:r>
      <w:proofErr w:type="spellStart"/>
      <w:r w:rsidRPr="1122C945">
        <w:rPr>
          <w:rFonts w:ascii="Calibri" w:eastAsia="Calibri" w:hAnsi="Calibri" w:cs="Calibri"/>
          <w:color w:val="000000" w:themeColor="text1"/>
        </w:rPr>
        <w:t>learning</w:t>
      </w:r>
      <w:proofErr w:type="spellEnd"/>
      <w:r w:rsidRPr="1122C945">
        <w:rPr>
          <w:rFonts w:ascii="Calibri" w:eastAsia="Calibri" w:hAnsi="Calibri" w:cs="Calibri"/>
          <w:color w:val="000000" w:themeColor="text1"/>
        </w:rPr>
        <w:t xml:space="preserve"> (učenje na daljinu) i studija koji će se nuditi i na hrvatskom i engleskom jeziku u Hrvatskoj i izvan zemlje (</w:t>
      </w:r>
      <w:r>
        <w:rPr>
          <w:rFonts w:ascii="Calibri" w:eastAsia="Calibri" w:hAnsi="Calibri" w:cs="Calibri"/>
          <w:color w:val="000000" w:themeColor="text1"/>
        </w:rPr>
        <w:t xml:space="preserve">osobito </w:t>
      </w:r>
      <w:r w:rsidRPr="1122C945">
        <w:rPr>
          <w:rFonts w:ascii="Calibri" w:eastAsia="Calibri" w:hAnsi="Calibri" w:cs="Calibri"/>
          <w:color w:val="000000" w:themeColor="text1"/>
        </w:rPr>
        <w:t>hrvatska dijaspora),  zatim interdisciplinarnih programa unutar (osobito interna mobilnost studenata kroz vanjsku izbornost kolegija) i izvan institucije, znanosti s naglaskom na kompetitivne projekte i doktorsku školu te ulazak u europsku mrežu sveučilišta, kao inicijaciju za daljnji institucionalni i međunarodni razvoj.</w:t>
      </w:r>
    </w:p>
    <w:p w:rsidR="00B95504" w:rsidRDefault="00B95504" w:rsidP="00B95504">
      <w:pPr>
        <w:rPr>
          <w:i/>
          <w:iCs/>
        </w:rPr>
      </w:pPr>
    </w:p>
    <w:p w:rsidR="00B95504" w:rsidRDefault="00B95504" w:rsidP="00B95504"/>
    <w:p w:rsidR="00B95504" w:rsidRDefault="00B95504" w:rsidP="00B95504">
      <w:r>
        <w:t>Povezanost strateških i posebnih ciljeva programskog financiranja (bilo iz programskih sredstava bilo iz sufinanciranja – ostalo sufinanciranje vlastitim i namjenskim sredstvima):</w:t>
      </w:r>
    </w:p>
    <w:p w:rsidR="00B95504" w:rsidRDefault="00B95504" w:rsidP="00B95504">
      <w:pPr>
        <w:jc w:val="both"/>
      </w:pPr>
      <w:r w:rsidRPr="20031322">
        <w:rPr>
          <w:rFonts w:ascii="Calibri" w:eastAsia="Calibri" w:hAnsi="Calibri" w:cs="Calibri"/>
          <w:color w:val="000000" w:themeColor="text1"/>
          <w:lang w:val="hr"/>
        </w:rPr>
        <w:t xml:space="preserve">Strateški cilj 1. </w:t>
      </w:r>
      <w:r w:rsidRPr="20031322">
        <w:rPr>
          <w:rFonts w:ascii="Calibri" w:eastAsia="Calibri" w:hAnsi="Calibri" w:cs="Calibri"/>
          <w:i/>
          <w:iCs/>
          <w:color w:val="000000" w:themeColor="text1"/>
          <w:lang w:val="hr"/>
        </w:rPr>
        <w:t>Podizanje znanstvene izvrsnosti</w:t>
      </w:r>
    </w:p>
    <w:p w:rsidR="00B95504" w:rsidRDefault="00B95504" w:rsidP="00B95504">
      <w:pPr>
        <w:ind w:left="720"/>
        <w:jc w:val="both"/>
      </w:pPr>
      <w:r w:rsidRPr="20031322">
        <w:rPr>
          <w:rFonts w:ascii="Calibri" w:eastAsia="Calibri" w:hAnsi="Calibri" w:cs="Calibri"/>
          <w:color w:val="000000" w:themeColor="text1"/>
          <w:lang w:val="hr"/>
        </w:rPr>
        <w:t>Posebni ciljevi:</w:t>
      </w:r>
    </w:p>
    <w:p w:rsidR="00B95504" w:rsidRDefault="00B95504" w:rsidP="00B95504">
      <w:pPr>
        <w:ind w:left="720"/>
        <w:jc w:val="both"/>
      </w:pPr>
      <w:r w:rsidRPr="20031322">
        <w:rPr>
          <w:rFonts w:ascii="Calibri" w:eastAsia="Calibri" w:hAnsi="Calibri" w:cs="Calibri"/>
          <w:color w:val="000000" w:themeColor="text1"/>
          <w:lang w:val="hr"/>
        </w:rPr>
        <w:t xml:space="preserve"> </w:t>
      </w:r>
    </w:p>
    <w:p w:rsidR="00B95504" w:rsidRPr="0066086E" w:rsidRDefault="00B95504" w:rsidP="00B95504">
      <w:pPr>
        <w:pStyle w:val="ListParagraph"/>
        <w:numPr>
          <w:ilvl w:val="1"/>
          <w:numId w:val="38"/>
        </w:numPr>
        <w:spacing w:after="0"/>
        <w:ind w:left="1069"/>
        <w:jc w:val="both"/>
        <w:rPr>
          <w:rFonts w:ascii="Calibri" w:eastAsia="Calibri" w:hAnsi="Calibri" w:cs="Calibri"/>
          <w:color w:val="000000" w:themeColor="text1"/>
          <w:lang w:val="hr"/>
        </w:rPr>
      </w:pPr>
      <w:r w:rsidRPr="20031322">
        <w:rPr>
          <w:rFonts w:ascii="Calibri" w:eastAsia="Calibri" w:hAnsi="Calibri" w:cs="Calibri"/>
          <w:color w:val="000000" w:themeColor="text1"/>
          <w:lang w:val="hr"/>
        </w:rPr>
        <w:t>Povećanje sudjelovanja javnih visokih učilišta i javnih znanstvenih instituta u kompetitivnom projektnom financiranju</w:t>
      </w:r>
    </w:p>
    <w:p w:rsidR="00B95504" w:rsidRPr="0066086E" w:rsidRDefault="00B95504" w:rsidP="00B95504">
      <w:pPr>
        <w:jc w:val="both"/>
        <w:rPr>
          <w:rFonts w:ascii="Calibri" w:eastAsia="Calibri" w:hAnsi="Calibri" w:cs="Calibri"/>
          <w:color w:val="000000" w:themeColor="text1"/>
          <w:lang w:val="hr"/>
        </w:rPr>
      </w:pPr>
      <w:r>
        <w:rPr>
          <w:rFonts w:ascii="Calibri" w:eastAsia="Calibri" w:hAnsi="Calibri" w:cs="Calibri"/>
          <w:color w:val="000000" w:themeColor="text1"/>
          <w:lang w:val="hr"/>
        </w:rPr>
        <w:t xml:space="preserve">              1.3.</w:t>
      </w:r>
      <w:r w:rsidRPr="0066086E">
        <w:rPr>
          <w:rFonts w:ascii="Calibri" w:eastAsia="Calibri" w:hAnsi="Calibri" w:cs="Calibri"/>
          <w:color w:val="000000" w:themeColor="text1"/>
          <w:lang w:val="hr"/>
        </w:rPr>
        <w:t>Jačanje međunarodne znanstvene suradnje i znanstvene aktivnosti</w:t>
      </w:r>
    </w:p>
    <w:p w:rsidR="00B95504" w:rsidRDefault="00B95504" w:rsidP="00B95504">
      <w:pPr>
        <w:ind w:left="720"/>
        <w:jc w:val="both"/>
        <w:rPr>
          <w:rFonts w:ascii="Calibri" w:eastAsia="Calibri" w:hAnsi="Calibri" w:cs="Calibri"/>
          <w:color w:val="000000" w:themeColor="text1"/>
          <w:lang w:val="hr"/>
        </w:rPr>
      </w:pPr>
      <w:r w:rsidRPr="20031322">
        <w:rPr>
          <w:rFonts w:ascii="Calibri" w:eastAsia="Calibri" w:hAnsi="Calibri" w:cs="Calibri"/>
          <w:color w:val="000000" w:themeColor="text1"/>
          <w:lang w:val="hr"/>
        </w:rPr>
        <w:t>1.5.Jačanje ljudskih potencijala stručnih službi</w:t>
      </w:r>
    </w:p>
    <w:p w:rsidR="00B95504" w:rsidRDefault="00B95504" w:rsidP="00B95504">
      <w:pPr>
        <w:ind w:left="720"/>
        <w:jc w:val="both"/>
      </w:pPr>
      <w:r>
        <w:rPr>
          <w:rFonts w:ascii="Calibri" w:eastAsia="Calibri" w:hAnsi="Calibri" w:cs="Calibri"/>
          <w:color w:val="000000" w:themeColor="text1"/>
          <w:lang w:val="hr"/>
        </w:rPr>
        <w:t>1.6. Unaprjeđenje istraživačke infrastrukture</w:t>
      </w:r>
    </w:p>
    <w:p w:rsidR="00B95504" w:rsidRDefault="00B95504" w:rsidP="00B95504">
      <w:pPr>
        <w:ind w:firstLine="708"/>
        <w:jc w:val="both"/>
      </w:pPr>
      <w:r w:rsidRPr="20031322">
        <w:rPr>
          <w:rFonts w:ascii="Calibri" w:eastAsia="Calibri" w:hAnsi="Calibri" w:cs="Calibri"/>
          <w:color w:val="000000" w:themeColor="text1"/>
          <w:lang w:val="hr"/>
        </w:rPr>
        <w:t>1.8. Jačanje interdisciplinarnosti znanstvenog rada</w:t>
      </w:r>
    </w:p>
    <w:p w:rsidR="00B95504" w:rsidRDefault="00B95504" w:rsidP="00B95504">
      <w:pPr>
        <w:jc w:val="both"/>
      </w:pPr>
      <w:r w:rsidRPr="20031322">
        <w:rPr>
          <w:rFonts w:ascii="Calibri" w:eastAsia="Calibri" w:hAnsi="Calibri" w:cs="Calibri"/>
          <w:color w:val="000000" w:themeColor="text1"/>
          <w:lang w:val="hr"/>
        </w:rPr>
        <w:t xml:space="preserve"> </w:t>
      </w:r>
    </w:p>
    <w:p w:rsidR="00B95504" w:rsidRDefault="00B95504" w:rsidP="00B95504">
      <w:pPr>
        <w:spacing w:after="120"/>
        <w:ind w:left="68"/>
        <w:jc w:val="both"/>
      </w:pPr>
      <w:r w:rsidRPr="20031322">
        <w:rPr>
          <w:rFonts w:ascii="Calibri" w:eastAsia="Calibri" w:hAnsi="Calibri" w:cs="Calibri"/>
          <w:color w:val="000000" w:themeColor="text1"/>
          <w:lang w:val="hr"/>
        </w:rPr>
        <w:t xml:space="preserve">Strateški cilj 2. </w:t>
      </w:r>
      <w:r w:rsidRPr="20031322">
        <w:rPr>
          <w:rFonts w:ascii="Calibri" w:eastAsia="Calibri" w:hAnsi="Calibri" w:cs="Calibri"/>
          <w:i/>
          <w:iCs/>
          <w:lang w:val="hr"/>
        </w:rPr>
        <w:t>Jačanje suradnje s gospodarstvom te razvoj nacionalnog i regionalnog identiteta i kulture</w:t>
      </w:r>
    </w:p>
    <w:p w:rsidR="00B95504" w:rsidRDefault="00B95504" w:rsidP="00B95504">
      <w:pPr>
        <w:spacing w:after="120"/>
        <w:ind w:left="68" w:firstLine="640"/>
        <w:jc w:val="both"/>
      </w:pPr>
      <w:r w:rsidRPr="20031322">
        <w:rPr>
          <w:rFonts w:ascii="Calibri" w:eastAsia="Calibri" w:hAnsi="Calibri" w:cs="Calibri"/>
          <w:lang w:val="hr"/>
        </w:rPr>
        <w:t>Posebni ciljevi:</w:t>
      </w:r>
    </w:p>
    <w:p w:rsidR="00B95504" w:rsidRDefault="00B95504" w:rsidP="00B95504">
      <w:pPr>
        <w:spacing w:after="120"/>
        <w:ind w:left="708"/>
        <w:jc w:val="both"/>
      </w:pPr>
      <w:r w:rsidRPr="1122C945">
        <w:rPr>
          <w:rFonts w:ascii="Calibri" w:eastAsia="Calibri" w:hAnsi="Calibri" w:cs="Calibri"/>
          <w:color w:val="000000" w:themeColor="text1"/>
          <w:lang w:val="hr"/>
        </w:rPr>
        <w:t>2.1. Poticanje provedbe primijenjenih znanstvenih aktivnosti, uključujući projekte suradnje s gospodarstvom</w:t>
      </w:r>
    </w:p>
    <w:p w:rsidR="00B95504" w:rsidRDefault="00B95504" w:rsidP="00B95504">
      <w:pPr>
        <w:spacing w:after="120"/>
        <w:ind w:left="700"/>
        <w:jc w:val="both"/>
      </w:pPr>
      <w:r w:rsidRPr="20031322">
        <w:rPr>
          <w:rFonts w:ascii="Calibri" w:eastAsia="Calibri" w:hAnsi="Calibri" w:cs="Calibri"/>
          <w:color w:val="000000" w:themeColor="text1"/>
          <w:lang w:val="hr"/>
        </w:rPr>
        <w:lastRenderedPageBreak/>
        <w:t>2.3. Unaprjeđenje pružanja znanstvenih, istraživačkih ili tehnoloških usluga na slobodnom tržištu, uključujući usluge za razvoj kulture i obrazovanja</w:t>
      </w:r>
    </w:p>
    <w:p w:rsidR="00B95504" w:rsidRDefault="00B95504" w:rsidP="00B95504">
      <w:pPr>
        <w:spacing w:after="120"/>
        <w:ind w:left="700"/>
        <w:jc w:val="both"/>
      </w:pPr>
      <w:r w:rsidRPr="20031322">
        <w:rPr>
          <w:rFonts w:ascii="Calibri" w:eastAsia="Calibri" w:hAnsi="Calibri" w:cs="Calibri"/>
          <w:color w:val="000000" w:themeColor="text1"/>
          <w:lang w:val="hr"/>
        </w:rPr>
        <w:t xml:space="preserve"> </w:t>
      </w:r>
    </w:p>
    <w:p w:rsidR="00B95504" w:rsidRDefault="00B95504" w:rsidP="00B95504">
      <w:pPr>
        <w:spacing w:after="120"/>
        <w:jc w:val="both"/>
      </w:pPr>
      <w:r w:rsidRPr="20031322">
        <w:rPr>
          <w:rFonts w:ascii="Calibri" w:eastAsia="Calibri" w:hAnsi="Calibri" w:cs="Calibri"/>
          <w:color w:val="000000" w:themeColor="text1"/>
          <w:lang w:val="hr"/>
        </w:rPr>
        <w:t xml:space="preserve">Strateški cilj 3. </w:t>
      </w:r>
      <w:r w:rsidRPr="20031322">
        <w:rPr>
          <w:rFonts w:ascii="Calibri" w:eastAsia="Calibri" w:hAnsi="Calibri" w:cs="Calibri"/>
          <w:i/>
          <w:iCs/>
          <w:lang w:val="hr"/>
        </w:rPr>
        <w:t>Povećanje, relevantnosti, kvalitete i učinkovitosti studiranja</w:t>
      </w:r>
    </w:p>
    <w:p w:rsidR="00B95504" w:rsidRDefault="00B95504" w:rsidP="00B95504">
      <w:pPr>
        <w:spacing w:after="120"/>
        <w:ind w:firstLine="708"/>
        <w:jc w:val="both"/>
      </w:pPr>
      <w:r w:rsidRPr="20031322">
        <w:rPr>
          <w:rFonts w:ascii="Calibri" w:eastAsia="Calibri" w:hAnsi="Calibri" w:cs="Calibri"/>
          <w:color w:val="000000" w:themeColor="text1"/>
          <w:lang w:val="hr"/>
        </w:rPr>
        <w:t>Posebni ciljevi:</w:t>
      </w:r>
    </w:p>
    <w:p w:rsidR="00B95504" w:rsidRDefault="00B95504" w:rsidP="00B95504">
      <w:pPr>
        <w:ind w:firstLine="708"/>
        <w:jc w:val="both"/>
      </w:pPr>
      <w:r w:rsidRPr="20031322">
        <w:rPr>
          <w:rFonts w:ascii="Calibri" w:eastAsia="Calibri" w:hAnsi="Calibri" w:cs="Calibri"/>
          <w:color w:val="000000" w:themeColor="text1"/>
          <w:lang w:val="hr"/>
        </w:rPr>
        <w:t>3.1.Unaprjeđenje studija</w:t>
      </w:r>
    </w:p>
    <w:p w:rsidR="00B95504" w:rsidRDefault="00B95504" w:rsidP="00B95504">
      <w:pPr>
        <w:ind w:firstLine="708"/>
        <w:jc w:val="both"/>
      </w:pPr>
      <w:r w:rsidRPr="20031322">
        <w:rPr>
          <w:rFonts w:ascii="Calibri" w:eastAsia="Calibri" w:hAnsi="Calibri" w:cs="Calibri"/>
          <w:color w:val="000000" w:themeColor="text1"/>
          <w:lang w:val="hr"/>
        </w:rPr>
        <w:t>3.2. Povećanje redovitosti i završnosti studiranja</w:t>
      </w:r>
    </w:p>
    <w:p w:rsidR="00B95504" w:rsidRDefault="00B95504" w:rsidP="00B95504">
      <w:pPr>
        <w:ind w:firstLine="708"/>
        <w:jc w:val="both"/>
      </w:pPr>
      <w:r w:rsidRPr="20031322">
        <w:rPr>
          <w:rFonts w:ascii="Calibri" w:eastAsia="Calibri" w:hAnsi="Calibri" w:cs="Calibri"/>
          <w:color w:val="000000" w:themeColor="text1"/>
          <w:lang w:val="hr"/>
        </w:rPr>
        <w:t>3.3. Povećanje međunarodne visokoobrazovne suradnje</w:t>
      </w:r>
    </w:p>
    <w:p w:rsidR="00B95504" w:rsidRDefault="00B95504" w:rsidP="00B95504">
      <w:pPr>
        <w:ind w:left="708"/>
        <w:jc w:val="both"/>
      </w:pPr>
      <w:r w:rsidRPr="20031322">
        <w:rPr>
          <w:rFonts w:ascii="Calibri" w:eastAsia="Calibri" w:hAnsi="Calibri" w:cs="Calibri"/>
          <w:color w:val="000000" w:themeColor="text1"/>
          <w:lang w:val="hr"/>
        </w:rPr>
        <w:t>3.4. Usmjeravanje studijskih programa prema razvoju vještina koje jačaju konkurentnost na tržištu rada</w:t>
      </w:r>
    </w:p>
    <w:p w:rsidR="00B95504" w:rsidRDefault="00B95504" w:rsidP="00B95504">
      <w:pPr>
        <w:jc w:val="both"/>
      </w:pPr>
      <w:r w:rsidRPr="20031322">
        <w:rPr>
          <w:rFonts w:ascii="Calibri" w:eastAsia="Calibri" w:hAnsi="Calibri" w:cs="Calibri"/>
          <w:color w:val="000000" w:themeColor="text1"/>
          <w:lang w:val="hr"/>
        </w:rPr>
        <w:t xml:space="preserve"> </w:t>
      </w:r>
    </w:p>
    <w:p w:rsidR="00B95504" w:rsidRDefault="00B95504" w:rsidP="00B95504">
      <w:pPr>
        <w:jc w:val="both"/>
      </w:pPr>
      <w:r w:rsidRPr="20031322">
        <w:rPr>
          <w:rFonts w:ascii="Calibri" w:eastAsia="Calibri" w:hAnsi="Calibri" w:cs="Calibri"/>
          <w:color w:val="000000" w:themeColor="text1"/>
          <w:lang w:val="hr"/>
        </w:rPr>
        <w:t xml:space="preserve">Strateški cilj 4. </w:t>
      </w:r>
      <w:r w:rsidRPr="20031322">
        <w:rPr>
          <w:rFonts w:ascii="Calibri" w:eastAsia="Calibri" w:hAnsi="Calibri" w:cs="Calibri"/>
          <w:lang w:val="hr"/>
        </w:rPr>
        <w:t>Jačanje društvene odgovornosti</w:t>
      </w:r>
    </w:p>
    <w:p w:rsidR="00B95504" w:rsidRDefault="00B95504" w:rsidP="00B95504">
      <w:pPr>
        <w:jc w:val="both"/>
      </w:pPr>
      <w:r w:rsidRPr="20031322">
        <w:rPr>
          <w:rFonts w:ascii="Calibri" w:eastAsia="Calibri" w:hAnsi="Calibri" w:cs="Calibri"/>
          <w:lang w:val="hr"/>
        </w:rPr>
        <w:t xml:space="preserve"> </w:t>
      </w:r>
    </w:p>
    <w:p w:rsidR="00B95504" w:rsidRDefault="00B95504" w:rsidP="00B95504">
      <w:pPr>
        <w:ind w:firstLine="708"/>
        <w:jc w:val="both"/>
      </w:pPr>
      <w:r w:rsidRPr="20031322">
        <w:rPr>
          <w:rFonts w:ascii="Calibri" w:eastAsia="Calibri" w:hAnsi="Calibri" w:cs="Calibri"/>
          <w:lang w:val="hr"/>
        </w:rPr>
        <w:t>Posebni ciljevi:</w:t>
      </w:r>
    </w:p>
    <w:p w:rsidR="00B95504" w:rsidRDefault="00B95504" w:rsidP="00B95504">
      <w:pPr>
        <w:jc w:val="both"/>
      </w:pPr>
      <w:r w:rsidRPr="20031322">
        <w:rPr>
          <w:rFonts w:ascii="Calibri" w:eastAsia="Calibri" w:hAnsi="Calibri" w:cs="Calibri"/>
          <w:color w:val="000000" w:themeColor="text1"/>
          <w:lang w:val="hr"/>
        </w:rPr>
        <w:t xml:space="preserve">              4.1. Rad na aktivnostima od nacionalnog značaja</w:t>
      </w:r>
    </w:p>
    <w:p w:rsidR="00B95504" w:rsidRDefault="00B95504" w:rsidP="00B95504">
      <w:pPr>
        <w:pStyle w:val="ListParagraph"/>
        <w:spacing w:after="0"/>
        <w:ind w:left="1080" w:hanging="360"/>
        <w:jc w:val="both"/>
        <w:rPr>
          <w:rFonts w:ascii="Calibri" w:eastAsia="Calibri" w:hAnsi="Calibri" w:cs="Calibri"/>
          <w:color w:val="000000" w:themeColor="text1"/>
          <w:lang w:val="hr"/>
        </w:rPr>
      </w:pPr>
      <w:r w:rsidRPr="20031322">
        <w:rPr>
          <w:rFonts w:ascii="Calibri" w:eastAsia="Calibri" w:hAnsi="Calibri" w:cs="Calibri"/>
          <w:color w:val="000000" w:themeColor="text1"/>
          <w:lang w:val="hr"/>
        </w:rPr>
        <w:t>4.2.Jačanje kulture cjeloživotnog obrazovanja, jednakosti i ravnopravnosti</w:t>
      </w:r>
    </w:p>
    <w:p w:rsidR="00B95504" w:rsidRDefault="00B95504" w:rsidP="00B95504">
      <w:pPr>
        <w:pStyle w:val="ListParagraph"/>
        <w:spacing w:after="0"/>
        <w:ind w:left="1080" w:hanging="360"/>
        <w:jc w:val="both"/>
        <w:rPr>
          <w:rFonts w:ascii="Calibri" w:eastAsia="Calibri" w:hAnsi="Calibri" w:cs="Calibri"/>
          <w:color w:val="000000" w:themeColor="text1"/>
          <w:lang w:val="hr"/>
        </w:rPr>
      </w:pPr>
      <w:r>
        <w:rPr>
          <w:rFonts w:ascii="Calibri" w:eastAsia="Calibri" w:hAnsi="Calibri" w:cs="Calibri"/>
          <w:color w:val="000000" w:themeColor="text1"/>
          <w:lang w:val="hr"/>
        </w:rPr>
        <w:t>4.3.Unaprjeđenje poslovanja javnog visokog učilišta</w:t>
      </w:r>
    </w:p>
    <w:p w:rsidR="00B95504" w:rsidRDefault="00B95504" w:rsidP="00B95504">
      <w:pPr>
        <w:ind w:left="720"/>
        <w:jc w:val="both"/>
      </w:pPr>
      <w:r>
        <w:rPr>
          <w:rFonts w:ascii="Calibri" w:eastAsia="Calibri" w:hAnsi="Calibri" w:cs="Calibri"/>
          <w:color w:val="000000" w:themeColor="text1"/>
          <w:lang w:val="hr"/>
        </w:rPr>
        <w:t>4.5. Jačanje zelene tranzicije</w:t>
      </w:r>
    </w:p>
    <w:p w:rsidR="00B95504" w:rsidRDefault="00B95504" w:rsidP="00B95504">
      <w:pPr>
        <w:ind w:left="720"/>
        <w:jc w:val="both"/>
      </w:pPr>
      <w:r w:rsidRPr="20031322">
        <w:rPr>
          <w:rFonts w:ascii="Calibri" w:eastAsia="Calibri" w:hAnsi="Calibri" w:cs="Calibri"/>
          <w:color w:val="000000" w:themeColor="text1"/>
          <w:lang w:val="hr"/>
        </w:rPr>
        <w:t>4.6. Popularizacija znanosti i umjetnosti</w:t>
      </w:r>
    </w:p>
    <w:p w:rsidR="00B95504" w:rsidRDefault="00B95504" w:rsidP="00531451">
      <w:pPr>
        <w:jc w:val="both"/>
        <w:rPr>
          <w:i/>
          <w:highlight w:val="cyan"/>
        </w:rPr>
      </w:pPr>
    </w:p>
    <w:p w:rsidR="005A65B9" w:rsidRPr="00B77F75" w:rsidRDefault="005A65B9" w:rsidP="005A65B9">
      <w:pPr>
        <w:pStyle w:val="ListParagraph"/>
        <w:jc w:val="both"/>
        <w:rPr>
          <w:rFonts w:ascii="Times New Roman" w:hAnsi="Times New Roman" w:cs="Times New Roman"/>
          <w:i/>
        </w:rPr>
      </w:pPr>
    </w:p>
    <w:p w:rsidR="005A65B9" w:rsidRPr="00A835AE" w:rsidRDefault="005A65B9" w:rsidP="005A65B9">
      <w:pPr>
        <w:pStyle w:val="ListParagraph"/>
        <w:jc w:val="both"/>
        <w:rPr>
          <w:rFonts w:ascii="Times New Roman" w:hAnsi="Times New Roman" w:cs="Times New Roman"/>
          <w:i/>
        </w:rPr>
      </w:pPr>
      <w:r w:rsidRPr="00A835AE">
        <w:rPr>
          <w:rFonts w:ascii="Times New Roman" w:hAnsi="Times New Roman" w:cs="Times New Roman"/>
          <w:i/>
        </w:rPr>
        <w:t>Nastavno su prikazani ciljevi  i očekivani rezultati u predstojećem planskom razdoblju</w:t>
      </w:r>
      <w:r w:rsidR="00B85ECF" w:rsidRPr="00A835AE">
        <w:rPr>
          <w:rFonts w:ascii="Times New Roman" w:hAnsi="Times New Roman" w:cs="Times New Roman"/>
          <w:i/>
        </w:rPr>
        <w:t>:</w:t>
      </w:r>
    </w:p>
    <w:tbl>
      <w:tblPr>
        <w:tblStyle w:val="TableGrid"/>
        <w:tblW w:w="9782" w:type="dxa"/>
        <w:jc w:val="center"/>
        <w:tblLayout w:type="fixed"/>
        <w:tblCellMar>
          <w:left w:w="0" w:type="dxa"/>
          <w:right w:w="0" w:type="dxa"/>
        </w:tblCellMar>
        <w:tblLook w:val="04A0" w:firstRow="1" w:lastRow="0" w:firstColumn="1" w:lastColumn="0" w:noHBand="0" w:noVBand="1"/>
      </w:tblPr>
      <w:tblGrid>
        <w:gridCol w:w="1838"/>
        <w:gridCol w:w="1985"/>
        <w:gridCol w:w="1275"/>
        <w:gridCol w:w="998"/>
        <w:gridCol w:w="1134"/>
        <w:gridCol w:w="851"/>
        <w:gridCol w:w="850"/>
        <w:gridCol w:w="851"/>
      </w:tblGrid>
      <w:tr w:rsidR="005A65B9" w:rsidRPr="00B85ECF" w:rsidTr="00860A6E">
        <w:trPr>
          <w:jc w:val="center"/>
        </w:trPr>
        <w:tc>
          <w:tcPr>
            <w:tcW w:w="1838" w:type="dxa"/>
            <w:shd w:val="clear" w:color="auto" w:fill="D0CECE" w:themeFill="background2" w:themeFillShade="E6"/>
            <w:vAlign w:val="center"/>
          </w:tcPr>
          <w:p w:rsidR="005A65B9" w:rsidRPr="00B85ECF" w:rsidRDefault="005A65B9" w:rsidP="00D728BC">
            <w:pPr>
              <w:jc w:val="center"/>
              <w:rPr>
                <w:sz w:val="20"/>
              </w:rPr>
            </w:pPr>
            <w:r w:rsidRPr="00B85ECF">
              <w:rPr>
                <w:sz w:val="20"/>
              </w:rPr>
              <w:t>Pokazatelj rezultata</w:t>
            </w:r>
          </w:p>
        </w:tc>
        <w:tc>
          <w:tcPr>
            <w:tcW w:w="1985" w:type="dxa"/>
            <w:shd w:val="clear" w:color="auto" w:fill="D0CECE" w:themeFill="background2" w:themeFillShade="E6"/>
            <w:vAlign w:val="center"/>
          </w:tcPr>
          <w:p w:rsidR="005A65B9" w:rsidRPr="00B85ECF" w:rsidRDefault="005A65B9" w:rsidP="00D728BC">
            <w:pPr>
              <w:jc w:val="center"/>
              <w:rPr>
                <w:sz w:val="20"/>
              </w:rPr>
            </w:pPr>
            <w:r w:rsidRPr="00B85ECF">
              <w:rPr>
                <w:sz w:val="20"/>
              </w:rPr>
              <w:t>Definicija</w:t>
            </w:r>
          </w:p>
        </w:tc>
        <w:tc>
          <w:tcPr>
            <w:tcW w:w="1275" w:type="dxa"/>
            <w:shd w:val="clear" w:color="auto" w:fill="D0CECE" w:themeFill="background2" w:themeFillShade="E6"/>
            <w:vAlign w:val="center"/>
          </w:tcPr>
          <w:p w:rsidR="005A65B9" w:rsidRPr="00B85ECF" w:rsidRDefault="005A65B9" w:rsidP="00D728BC">
            <w:pPr>
              <w:jc w:val="center"/>
              <w:rPr>
                <w:sz w:val="20"/>
              </w:rPr>
            </w:pPr>
            <w:r w:rsidRPr="00B85ECF">
              <w:rPr>
                <w:sz w:val="20"/>
              </w:rPr>
              <w:t>Jedinica</w:t>
            </w:r>
          </w:p>
        </w:tc>
        <w:tc>
          <w:tcPr>
            <w:tcW w:w="998" w:type="dxa"/>
            <w:shd w:val="clear" w:color="auto" w:fill="D0CECE" w:themeFill="background2" w:themeFillShade="E6"/>
            <w:vAlign w:val="center"/>
          </w:tcPr>
          <w:p w:rsidR="005A65B9" w:rsidRPr="00B85ECF" w:rsidRDefault="005A65B9" w:rsidP="00D728BC">
            <w:pPr>
              <w:jc w:val="center"/>
              <w:rPr>
                <w:sz w:val="20"/>
              </w:rPr>
            </w:pPr>
            <w:r w:rsidRPr="00B85ECF">
              <w:rPr>
                <w:sz w:val="20"/>
              </w:rPr>
              <w:t>Polazna vrijednost</w:t>
            </w:r>
          </w:p>
        </w:tc>
        <w:tc>
          <w:tcPr>
            <w:tcW w:w="1134" w:type="dxa"/>
            <w:shd w:val="clear" w:color="auto" w:fill="D0CECE" w:themeFill="background2" w:themeFillShade="E6"/>
            <w:vAlign w:val="center"/>
          </w:tcPr>
          <w:p w:rsidR="005A65B9" w:rsidRPr="00B85ECF" w:rsidRDefault="005A65B9" w:rsidP="00D728BC">
            <w:pPr>
              <w:jc w:val="center"/>
              <w:rPr>
                <w:sz w:val="20"/>
              </w:rPr>
            </w:pPr>
            <w:r w:rsidRPr="00B85ECF">
              <w:rPr>
                <w:sz w:val="20"/>
              </w:rPr>
              <w:t>Izvor podataka</w:t>
            </w:r>
          </w:p>
        </w:tc>
        <w:tc>
          <w:tcPr>
            <w:tcW w:w="851" w:type="dxa"/>
            <w:shd w:val="clear" w:color="auto" w:fill="D0CECE" w:themeFill="background2" w:themeFillShade="E6"/>
            <w:vAlign w:val="center"/>
          </w:tcPr>
          <w:p w:rsidR="005A65B9" w:rsidRPr="00B85ECF" w:rsidRDefault="005A65B9" w:rsidP="00D728BC">
            <w:pPr>
              <w:jc w:val="center"/>
              <w:rPr>
                <w:sz w:val="20"/>
              </w:rPr>
            </w:pPr>
            <w:r w:rsidRPr="00B85ECF">
              <w:rPr>
                <w:sz w:val="20"/>
              </w:rPr>
              <w:t>Ciljana vrijednost za 202</w:t>
            </w:r>
            <w:r w:rsidR="001F5812">
              <w:rPr>
                <w:sz w:val="20"/>
              </w:rPr>
              <w:t>6</w:t>
            </w:r>
            <w:r w:rsidRPr="00B85ECF">
              <w:rPr>
                <w:sz w:val="20"/>
              </w:rPr>
              <w:t>.</w:t>
            </w:r>
          </w:p>
        </w:tc>
        <w:tc>
          <w:tcPr>
            <w:tcW w:w="850" w:type="dxa"/>
            <w:shd w:val="clear" w:color="auto" w:fill="D0CECE" w:themeFill="background2" w:themeFillShade="E6"/>
          </w:tcPr>
          <w:p w:rsidR="005A65B9" w:rsidRPr="00B85ECF" w:rsidRDefault="005A65B9" w:rsidP="00D728BC">
            <w:pPr>
              <w:jc w:val="center"/>
              <w:rPr>
                <w:sz w:val="20"/>
              </w:rPr>
            </w:pPr>
            <w:r w:rsidRPr="00B85ECF">
              <w:rPr>
                <w:sz w:val="20"/>
              </w:rPr>
              <w:t>Ciljana vrijednost za 202</w:t>
            </w:r>
            <w:r w:rsidR="001F5812">
              <w:rPr>
                <w:sz w:val="20"/>
              </w:rPr>
              <w:t>7</w:t>
            </w:r>
            <w:r w:rsidRPr="00B85ECF">
              <w:rPr>
                <w:sz w:val="20"/>
              </w:rPr>
              <w:t>.</w:t>
            </w:r>
          </w:p>
        </w:tc>
        <w:tc>
          <w:tcPr>
            <w:tcW w:w="851" w:type="dxa"/>
            <w:shd w:val="clear" w:color="auto" w:fill="D0CECE" w:themeFill="background2" w:themeFillShade="E6"/>
          </w:tcPr>
          <w:p w:rsidR="005A65B9" w:rsidRPr="00B85ECF" w:rsidRDefault="005A65B9" w:rsidP="00D728BC">
            <w:pPr>
              <w:jc w:val="center"/>
              <w:rPr>
                <w:sz w:val="20"/>
              </w:rPr>
            </w:pPr>
            <w:r w:rsidRPr="00B85ECF">
              <w:rPr>
                <w:sz w:val="20"/>
              </w:rPr>
              <w:t>Ciljana vrijednost za 202</w:t>
            </w:r>
            <w:r w:rsidR="001F5812">
              <w:rPr>
                <w:sz w:val="20"/>
              </w:rPr>
              <w:t>8</w:t>
            </w:r>
            <w:r w:rsidRPr="00B85ECF">
              <w:rPr>
                <w:sz w:val="20"/>
              </w:rPr>
              <w:t>.</w:t>
            </w:r>
          </w:p>
        </w:tc>
      </w:tr>
      <w:tr w:rsidR="005A65B9" w:rsidRPr="00B85ECF" w:rsidTr="00860A6E">
        <w:trPr>
          <w:jc w:val="center"/>
        </w:trPr>
        <w:tc>
          <w:tcPr>
            <w:tcW w:w="1838" w:type="dxa"/>
            <w:shd w:val="clear" w:color="auto" w:fill="D0CECE" w:themeFill="background2" w:themeFillShade="E6"/>
            <w:vAlign w:val="center"/>
          </w:tcPr>
          <w:p w:rsidR="005A65B9" w:rsidRPr="00B85ECF" w:rsidRDefault="005A65B9" w:rsidP="00D728BC">
            <w:pPr>
              <w:rPr>
                <w:sz w:val="20"/>
              </w:rPr>
            </w:pPr>
          </w:p>
        </w:tc>
        <w:tc>
          <w:tcPr>
            <w:tcW w:w="1985" w:type="dxa"/>
            <w:shd w:val="clear" w:color="auto" w:fill="D0CECE" w:themeFill="background2" w:themeFillShade="E6"/>
            <w:vAlign w:val="center"/>
          </w:tcPr>
          <w:p w:rsidR="005A65B9" w:rsidRPr="00B85ECF" w:rsidRDefault="005A65B9" w:rsidP="00D728BC">
            <w:pPr>
              <w:jc w:val="center"/>
              <w:rPr>
                <w:sz w:val="20"/>
              </w:rPr>
            </w:pPr>
          </w:p>
        </w:tc>
        <w:tc>
          <w:tcPr>
            <w:tcW w:w="1275" w:type="dxa"/>
            <w:shd w:val="clear" w:color="auto" w:fill="D0CECE" w:themeFill="background2" w:themeFillShade="E6"/>
            <w:vAlign w:val="center"/>
          </w:tcPr>
          <w:p w:rsidR="005A65B9" w:rsidRPr="00B85ECF" w:rsidRDefault="005A65B9" w:rsidP="00D728BC">
            <w:pPr>
              <w:jc w:val="center"/>
              <w:rPr>
                <w:sz w:val="20"/>
              </w:rPr>
            </w:pPr>
          </w:p>
        </w:tc>
        <w:tc>
          <w:tcPr>
            <w:tcW w:w="998" w:type="dxa"/>
            <w:shd w:val="clear" w:color="auto" w:fill="D0CECE" w:themeFill="background2" w:themeFillShade="E6"/>
            <w:vAlign w:val="center"/>
          </w:tcPr>
          <w:p w:rsidR="005A65B9" w:rsidRPr="00B85ECF" w:rsidRDefault="005A65B9" w:rsidP="00D728BC">
            <w:pPr>
              <w:jc w:val="center"/>
              <w:rPr>
                <w:sz w:val="20"/>
              </w:rPr>
            </w:pPr>
          </w:p>
        </w:tc>
        <w:tc>
          <w:tcPr>
            <w:tcW w:w="1134" w:type="dxa"/>
            <w:shd w:val="clear" w:color="auto" w:fill="D0CECE" w:themeFill="background2" w:themeFillShade="E6"/>
            <w:vAlign w:val="center"/>
          </w:tcPr>
          <w:p w:rsidR="005A65B9" w:rsidRPr="00B85ECF" w:rsidRDefault="005A65B9" w:rsidP="00D728BC">
            <w:pPr>
              <w:jc w:val="center"/>
              <w:rPr>
                <w:sz w:val="20"/>
              </w:rPr>
            </w:pPr>
          </w:p>
        </w:tc>
        <w:tc>
          <w:tcPr>
            <w:tcW w:w="851" w:type="dxa"/>
            <w:shd w:val="clear" w:color="auto" w:fill="D0CECE" w:themeFill="background2" w:themeFillShade="E6"/>
            <w:vAlign w:val="center"/>
          </w:tcPr>
          <w:p w:rsidR="005A65B9" w:rsidRPr="00B85ECF" w:rsidRDefault="005A65B9" w:rsidP="00D728BC">
            <w:pPr>
              <w:jc w:val="center"/>
              <w:rPr>
                <w:sz w:val="20"/>
              </w:rPr>
            </w:pPr>
          </w:p>
        </w:tc>
        <w:tc>
          <w:tcPr>
            <w:tcW w:w="850" w:type="dxa"/>
            <w:shd w:val="clear" w:color="auto" w:fill="D0CECE" w:themeFill="background2" w:themeFillShade="E6"/>
          </w:tcPr>
          <w:p w:rsidR="005A65B9" w:rsidRPr="00B85ECF" w:rsidRDefault="005A65B9" w:rsidP="00D728BC">
            <w:pPr>
              <w:jc w:val="center"/>
              <w:rPr>
                <w:sz w:val="20"/>
              </w:rPr>
            </w:pPr>
          </w:p>
        </w:tc>
        <w:tc>
          <w:tcPr>
            <w:tcW w:w="851" w:type="dxa"/>
            <w:shd w:val="clear" w:color="auto" w:fill="D0CECE" w:themeFill="background2" w:themeFillShade="E6"/>
          </w:tcPr>
          <w:p w:rsidR="005A65B9" w:rsidRPr="00B85ECF" w:rsidRDefault="005A65B9" w:rsidP="00D728BC">
            <w:pPr>
              <w:jc w:val="center"/>
              <w:rPr>
                <w:sz w:val="20"/>
              </w:rPr>
            </w:pPr>
          </w:p>
        </w:tc>
      </w:tr>
      <w:tr w:rsidR="00BC3BCB" w:rsidRPr="003231E9" w:rsidTr="00860A6E">
        <w:trPr>
          <w:jc w:val="center"/>
        </w:trPr>
        <w:tc>
          <w:tcPr>
            <w:tcW w:w="1838" w:type="dxa"/>
            <w:tcBorders>
              <w:bottom w:val="single" w:sz="4" w:space="0" w:color="auto"/>
            </w:tcBorders>
            <w:shd w:val="clear" w:color="auto" w:fill="auto"/>
            <w:vAlign w:val="center"/>
          </w:tcPr>
          <w:p w:rsidR="00BC3BCB" w:rsidRPr="00B85ECF" w:rsidRDefault="00BC3BCB" w:rsidP="00BC3BCB">
            <w:pPr>
              <w:jc w:val="center"/>
              <w:rPr>
                <w:i/>
                <w:sz w:val="20"/>
              </w:rPr>
            </w:pPr>
          </w:p>
          <w:p w:rsidR="00BC3BCB" w:rsidRPr="00B85ECF" w:rsidRDefault="00BC3BCB" w:rsidP="00BC3BCB">
            <w:pPr>
              <w:jc w:val="center"/>
              <w:rPr>
                <w:i/>
                <w:sz w:val="20"/>
              </w:rPr>
            </w:pPr>
            <w:r w:rsidRPr="00B85ECF">
              <w:rPr>
                <w:i/>
                <w:sz w:val="20"/>
              </w:rPr>
              <w:t>Broj nastavnika koji sudjeluju u međunarodnoj razmjeni</w:t>
            </w:r>
          </w:p>
          <w:p w:rsidR="00BC3BCB" w:rsidRPr="00B85ECF" w:rsidRDefault="00BC3BCB" w:rsidP="00BC3BCB">
            <w:pPr>
              <w:jc w:val="center"/>
              <w:rPr>
                <w:i/>
                <w:sz w:val="20"/>
              </w:rPr>
            </w:pPr>
          </w:p>
        </w:tc>
        <w:tc>
          <w:tcPr>
            <w:tcW w:w="1985" w:type="dxa"/>
            <w:tcBorders>
              <w:bottom w:val="single" w:sz="4" w:space="0" w:color="auto"/>
            </w:tcBorders>
            <w:shd w:val="clear" w:color="auto" w:fill="auto"/>
            <w:vAlign w:val="center"/>
          </w:tcPr>
          <w:p w:rsidR="00BC3BCB" w:rsidRPr="00B85ECF" w:rsidRDefault="00BC3BCB" w:rsidP="00BC3BCB">
            <w:pPr>
              <w:jc w:val="center"/>
              <w:rPr>
                <w:i/>
                <w:sz w:val="20"/>
              </w:rPr>
            </w:pPr>
            <w:r w:rsidRPr="00B74DCA">
              <w:rPr>
                <w:i/>
                <w:sz w:val="20"/>
              </w:rPr>
              <w:t xml:space="preserve">Poticanje međunarodne mobilnosti i međunarodne međuinstitucionalne suradnje kroz sufinanciranje odlazne i dolazne međunarodne mobilnosti nastavnika ili suradnika koja uključuje održavanje nastave na inozemnom visokom učilištu </w:t>
            </w:r>
          </w:p>
        </w:tc>
        <w:tc>
          <w:tcPr>
            <w:tcW w:w="1275" w:type="dxa"/>
            <w:tcBorders>
              <w:bottom w:val="single" w:sz="4" w:space="0" w:color="auto"/>
            </w:tcBorders>
            <w:shd w:val="clear" w:color="auto" w:fill="auto"/>
            <w:vAlign w:val="center"/>
          </w:tcPr>
          <w:p w:rsidR="00BC3BCB" w:rsidRPr="00B85ECF" w:rsidRDefault="00BC3BCB" w:rsidP="00BC3BCB">
            <w:pPr>
              <w:jc w:val="center"/>
              <w:rPr>
                <w:i/>
                <w:sz w:val="20"/>
              </w:rPr>
            </w:pPr>
            <w:r w:rsidRPr="00B85ECF">
              <w:rPr>
                <w:i/>
                <w:sz w:val="20"/>
              </w:rPr>
              <w:t>Profesor</w:t>
            </w:r>
          </w:p>
        </w:tc>
        <w:tc>
          <w:tcPr>
            <w:tcW w:w="998" w:type="dxa"/>
            <w:tcBorders>
              <w:bottom w:val="single" w:sz="4" w:space="0" w:color="auto"/>
            </w:tcBorders>
            <w:shd w:val="clear" w:color="auto" w:fill="auto"/>
            <w:vAlign w:val="center"/>
          </w:tcPr>
          <w:p w:rsidR="00BC3BCB" w:rsidRPr="00B85ECF" w:rsidRDefault="00BC3BCB" w:rsidP="00BC3BCB">
            <w:pPr>
              <w:jc w:val="center"/>
              <w:rPr>
                <w:i/>
                <w:sz w:val="20"/>
              </w:rPr>
            </w:pPr>
            <w:r w:rsidRPr="00B85ECF">
              <w:rPr>
                <w:i/>
                <w:sz w:val="20"/>
              </w:rPr>
              <w:t>2</w:t>
            </w:r>
            <w:r>
              <w:rPr>
                <w:i/>
                <w:sz w:val="20"/>
              </w:rPr>
              <w:t>2</w:t>
            </w:r>
          </w:p>
        </w:tc>
        <w:tc>
          <w:tcPr>
            <w:tcW w:w="1134" w:type="dxa"/>
            <w:tcBorders>
              <w:bottom w:val="single" w:sz="4" w:space="0" w:color="auto"/>
            </w:tcBorders>
            <w:shd w:val="clear" w:color="auto" w:fill="auto"/>
            <w:vAlign w:val="center"/>
          </w:tcPr>
          <w:p w:rsidR="00BC3BCB" w:rsidRPr="00B85ECF" w:rsidRDefault="00BC3BCB" w:rsidP="00BC3BCB">
            <w:pPr>
              <w:jc w:val="center"/>
              <w:rPr>
                <w:i/>
                <w:sz w:val="20"/>
              </w:rPr>
            </w:pPr>
            <w:r w:rsidRPr="00B85ECF">
              <w:rPr>
                <w:i/>
                <w:sz w:val="20"/>
              </w:rPr>
              <w:t>Sveučilište</w:t>
            </w:r>
          </w:p>
        </w:tc>
        <w:tc>
          <w:tcPr>
            <w:tcW w:w="851" w:type="dxa"/>
            <w:tcBorders>
              <w:bottom w:val="single" w:sz="4" w:space="0" w:color="auto"/>
            </w:tcBorders>
            <w:shd w:val="clear" w:color="auto" w:fill="auto"/>
            <w:vAlign w:val="center"/>
          </w:tcPr>
          <w:p w:rsidR="00BC3BCB" w:rsidRPr="00B85ECF" w:rsidRDefault="00BC3BCB" w:rsidP="00BC3BCB">
            <w:pPr>
              <w:jc w:val="center"/>
              <w:rPr>
                <w:i/>
              </w:rPr>
            </w:pPr>
            <w:r w:rsidRPr="00B85ECF">
              <w:rPr>
                <w:i/>
              </w:rPr>
              <w:t>2</w:t>
            </w:r>
            <w:r w:rsidR="00112899">
              <w:rPr>
                <w:i/>
              </w:rPr>
              <w:t>3</w:t>
            </w:r>
          </w:p>
        </w:tc>
        <w:tc>
          <w:tcPr>
            <w:tcW w:w="850" w:type="dxa"/>
            <w:tcBorders>
              <w:bottom w:val="single" w:sz="4" w:space="0" w:color="auto"/>
            </w:tcBorders>
            <w:shd w:val="clear" w:color="auto" w:fill="auto"/>
            <w:vAlign w:val="center"/>
          </w:tcPr>
          <w:p w:rsidR="00BC3BCB" w:rsidRPr="00B85ECF" w:rsidRDefault="00BC3BCB" w:rsidP="00BC3BCB">
            <w:pPr>
              <w:jc w:val="center"/>
              <w:rPr>
                <w:i/>
              </w:rPr>
            </w:pPr>
            <w:r w:rsidRPr="00B85ECF">
              <w:rPr>
                <w:i/>
              </w:rPr>
              <w:t>25</w:t>
            </w:r>
          </w:p>
        </w:tc>
        <w:tc>
          <w:tcPr>
            <w:tcW w:w="851" w:type="dxa"/>
            <w:tcBorders>
              <w:bottom w:val="single" w:sz="4" w:space="0" w:color="auto"/>
            </w:tcBorders>
            <w:shd w:val="clear" w:color="auto" w:fill="auto"/>
            <w:vAlign w:val="center"/>
          </w:tcPr>
          <w:p w:rsidR="00BC3BCB" w:rsidRPr="00B85ECF" w:rsidRDefault="00BC3BCB" w:rsidP="00BC3BCB">
            <w:pPr>
              <w:jc w:val="center"/>
              <w:rPr>
                <w:i/>
              </w:rPr>
            </w:pPr>
            <w:r w:rsidRPr="00B85ECF">
              <w:rPr>
                <w:i/>
              </w:rPr>
              <w:t>47</w:t>
            </w:r>
          </w:p>
        </w:tc>
      </w:tr>
      <w:tr w:rsidR="00BC3BCB" w:rsidRPr="003231E9" w:rsidTr="00860A6E">
        <w:trPr>
          <w:jc w:val="center"/>
        </w:trPr>
        <w:tc>
          <w:tcPr>
            <w:tcW w:w="1838"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Ukupno ulaganje javnog visokog učilišta u istraživačku infrastrukturu iz vlastitih sredstava</w:t>
            </w:r>
          </w:p>
          <w:p w:rsidR="00BC3BCB" w:rsidRPr="00B74DCA" w:rsidRDefault="00BC3BCB" w:rsidP="00BC3BCB">
            <w:pPr>
              <w:jc w:val="center"/>
              <w:rPr>
                <w:i/>
                <w:sz w:val="20"/>
              </w:rPr>
            </w:pPr>
          </w:p>
        </w:tc>
        <w:tc>
          <w:tcPr>
            <w:tcW w:w="1985"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 xml:space="preserve">Dovršetak obnove infrastrukture novog Sveučilišnog </w:t>
            </w:r>
            <w:proofErr w:type="spellStart"/>
            <w:r w:rsidRPr="00B74DCA">
              <w:rPr>
                <w:i/>
                <w:sz w:val="20"/>
              </w:rPr>
              <w:t>kampusa</w:t>
            </w:r>
            <w:proofErr w:type="spellEnd"/>
          </w:p>
          <w:p w:rsidR="00BC3BCB" w:rsidRPr="00B74DCA" w:rsidRDefault="00BC3BCB" w:rsidP="00BC3BCB">
            <w:pPr>
              <w:jc w:val="center"/>
              <w:rPr>
                <w:i/>
                <w:sz w:val="20"/>
              </w:rPr>
            </w:pPr>
          </w:p>
        </w:tc>
        <w:tc>
          <w:tcPr>
            <w:tcW w:w="1275"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Ulaganje</w:t>
            </w:r>
          </w:p>
        </w:tc>
        <w:tc>
          <w:tcPr>
            <w:tcW w:w="998"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1.415.006</w:t>
            </w:r>
          </w:p>
        </w:tc>
        <w:tc>
          <w:tcPr>
            <w:tcW w:w="1134"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Sveučilište</w:t>
            </w:r>
          </w:p>
        </w:tc>
        <w:tc>
          <w:tcPr>
            <w:tcW w:w="851"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1.41</w:t>
            </w:r>
            <w:r w:rsidR="00112899">
              <w:rPr>
                <w:i/>
                <w:sz w:val="20"/>
              </w:rPr>
              <w:t>5</w:t>
            </w:r>
            <w:r w:rsidRPr="00B74DCA">
              <w:rPr>
                <w:i/>
                <w:sz w:val="20"/>
              </w:rPr>
              <w:t>.</w:t>
            </w:r>
            <w:r w:rsidR="00112899">
              <w:rPr>
                <w:i/>
                <w:sz w:val="20"/>
              </w:rPr>
              <w:t>5</w:t>
            </w:r>
            <w:r w:rsidRPr="00B74DCA">
              <w:rPr>
                <w:i/>
                <w:sz w:val="20"/>
              </w:rPr>
              <w:t>0</w:t>
            </w:r>
            <w:r w:rsidR="00112899">
              <w:rPr>
                <w:i/>
                <w:sz w:val="20"/>
              </w:rPr>
              <w:t>0</w:t>
            </w:r>
          </w:p>
        </w:tc>
        <w:tc>
          <w:tcPr>
            <w:tcW w:w="850"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1.417.006</w:t>
            </w:r>
          </w:p>
        </w:tc>
        <w:tc>
          <w:tcPr>
            <w:tcW w:w="851"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2000</w:t>
            </w:r>
          </w:p>
        </w:tc>
      </w:tr>
      <w:tr w:rsidR="00BC3BCB" w:rsidRPr="003231E9" w:rsidTr="00860A6E">
        <w:trPr>
          <w:jc w:val="center"/>
        </w:trPr>
        <w:tc>
          <w:tcPr>
            <w:tcW w:w="1838"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Broj uvedenih inovativnih metoda</w:t>
            </w:r>
          </w:p>
          <w:p w:rsidR="00BC3BCB" w:rsidRPr="00B74DCA" w:rsidRDefault="00BC3BCB" w:rsidP="00BC3BCB">
            <w:pPr>
              <w:jc w:val="center"/>
              <w:rPr>
                <w:i/>
                <w:sz w:val="20"/>
              </w:rPr>
            </w:pPr>
          </w:p>
        </w:tc>
        <w:tc>
          <w:tcPr>
            <w:tcW w:w="1985"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 xml:space="preserve">Modernizacija studijskih programa  - uvođenje suvremenih metoda i tehnologija poučavanja u nastavi </w:t>
            </w:r>
          </w:p>
        </w:tc>
        <w:tc>
          <w:tcPr>
            <w:tcW w:w="1275"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Inovativna metoda</w:t>
            </w:r>
          </w:p>
          <w:p w:rsidR="00BC3BCB" w:rsidRPr="00B74DCA" w:rsidRDefault="00BC3BCB" w:rsidP="00BC3BCB">
            <w:pPr>
              <w:jc w:val="center"/>
              <w:rPr>
                <w:i/>
                <w:sz w:val="20"/>
              </w:rPr>
            </w:pPr>
          </w:p>
        </w:tc>
        <w:tc>
          <w:tcPr>
            <w:tcW w:w="998"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10</w:t>
            </w:r>
          </w:p>
        </w:tc>
        <w:tc>
          <w:tcPr>
            <w:tcW w:w="1134"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Sveučilište</w:t>
            </w:r>
          </w:p>
        </w:tc>
        <w:tc>
          <w:tcPr>
            <w:tcW w:w="851"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1</w:t>
            </w:r>
            <w:r w:rsidR="00112899">
              <w:rPr>
                <w:i/>
                <w:sz w:val="20"/>
              </w:rPr>
              <w:t>2</w:t>
            </w:r>
          </w:p>
        </w:tc>
        <w:tc>
          <w:tcPr>
            <w:tcW w:w="850"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18</w:t>
            </w:r>
          </w:p>
        </w:tc>
        <w:tc>
          <w:tcPr>
            <w:tcW w:w="851" w:type="dxa"/>
            <w:tcBorders>
              <w:bottom w:val="single" w:sz="4" w:space="0" w:color="auto"/>
            </w:tcBorders>
            <w:shd w:val="clear" w:color="auto" w:fill="auto"/>
            <w:vAlign w:val="center"/>
          </w:tcPr>
          <w:p w:rsidR="00BC3BCB" w:rsidRPr="00B74DCA" w:rsidRDefault="00BC3BCB" w:rsidP="00BC3BCB">
            <w:pPr>
              <w:jc w:val="center"/>
              <w:rPr>
                <w:i/>
                <w:sz w:val="20"/>
              </w:rPr>
            </w:pPr>
            <w:r w:rsidRPr="00B74DCA">
              <w:rPr>
                <w:i/>
                <w:sz w:val="20"/>
              </w:rPr>
              <w:t>22</w:t>
            </w:r>
          </w:p>
        </w:tc>
      </w:tr>
      <w:tr w:rsidR="00BC3BCB" w:rsidRPr="003231E9" w:rsidTr="00860A6E">
        <w:tblPrEx>
          <w:tblCellMar>
            <w:left w:w="108" w:type="dxa"/>
            <w:right w:w="108" w:type="dxa"/>
          </w:tblCellMar>
        </w:tblPrEx>
        <w:trPr>
          <w:jc w:val="center"/>
        </w:trPr>
        <w:tc>
          <w:tcPr>
            <w:tcW w:w="1838" w:type="dxa"/>
            <w:vAlign w:val="center"/>
          </w:tcPr>
          <w:p w:rsidR="00BC3BCB" w:rsidRPr="001F5812" w:rsidRDefault="00BC3BCB" w:rsidP="00BC3BCB">
            <w:pPr>
              <w:jc w:val="center"/>
              <w:rPr>
                <w:i/>
                <w:sz w:val="20"/>
              </w:rPr>
            </w:pPr>
            <w:r w:rsidRPr="001F5812">
              <w:rPr>
                <w:i/>
                <w:sz w:val="20"/>
                <w:szCs w:val="21"/>
              </w:rPr>
              <w:t xml:space="preserve">Iznos vlastitih i namjenskih sredstava utrošen </w:t>
            </w:r>
            <w:r w:rsidRPr="001F5812">
              <w:rPr>
                <w:i/>
                <w:sz w:val="20"/>
                <w:szCs w:val="21"/>
              </w:rPr>
              <w:lastRenderedPageBreak/>
              <w:t>na projekte s ciljem postizanja energetske učinkovitosti</w:t>
            </w:r>
          </w:p>
        </w:tc>
        <w:tc>
          <w:tcPr>
            <w:tcW w:w="1985" w:type="dxa"/>
            <w:vAlign w:val="center"/>
          </w:tcPr>
          <w:p w:rsidR="00BC3BCB" w:rsidRPr="001F5812" w:rsidRDefault="00BC3BCB" w:rsidP="00BC3BCB">
            <w:pPr>
              <w:jc w:val="center"/>
              <w:rPr>
                <w:i/>
                <w:sz w:val="20"/>
              </w:rPr>
            </w:pPr>
            <w:r w:rsidRPr="001F5812">
              <w:rPr>
                <w:i/>
                <w:sz w:val="20"/>
              </w:rPr>
              <w:lastRenderedPageBreak/>
              <w:t>Rekonstrukcija i adaptacija studentske infrastrukture</w:t>
            </w:r>
          </w:p>
        </w:tc>
        <w:tc>
          <w:tcPr>
            <w:tcW w:w="1275" w:type="dxa"/>
            <w:vAlign w:val="center"/>
          </w:tcPr>
          <w:p w:rsidR="00BC3BCB" w:rsidRPr="001F5812" w:rsidRDefault="00BC3BCB" w:rsidP="00BC3BCB">
            <w:pPr>
              <w:jc w:val="center"/>
              <w:rPr>
                <w:i/>
                <w:sz w:val="20"/>
              </w:rPr>
            </w:pPr>
          </w:p>
          <w:p w:rsidR="00BC3BCB" w:rsidRPr="001F5812" w:rsidRDefault="00BC3BCB" w:rsidP="00BC3BCB">
            <w:pPr>
              <w:jc w:val="center"/>
              <w:rPr>
                <w:i/>
                <w:sz w:val="20"/>
              </w:rPr>
            </w:pPr>
          </w:p>
          <w:p w:rsidR="00BC3BCB" w:rsidRPr="001F5812" w:rsidRDefault="00BC3BCB" w:rsidP="00BC3BCB">
            <w:pPr>
              <w:jc w:val="center"/>
              <w:rPr>
                <w:i/>
                <w:sz w:val="20"/>
              </w:rPr>
            </w:pPr>
            <w:r w:rsidRPr="001F5812">
              <w:rPr>
                <w:i/>
                <w:sz w:val="20"/>
              </w:rPr>
              <w:t>Ulaganje</w:t>
            </w:r>
          </w:p>
        </w:tc>
        <w:tc>
          <w:tcPr>
            <w:tcW w:w="998" w:type="dxa"/>
            <w:vAlign w:val="center"/>
          </w:tcPr>
          <w:p w:rsidR="00BC3BCB" w:rsidRPr="001F5812" w:rsidRDefault="00BC3BCB" w:rsidP="00BC3BCB">
            <w:pPr>
              <w:jc w:val="center"/>
              <w:rPr>
                <w:i/>
                <w:sz w:val="20"/>
              </w:rPr>
            </w:pPr>
            <w:r w:rsidRPr="001F5812">
              <w:rPr>
                <w:i/>
                <w:sz w:val="20"/>
              </w:rPr>
              <w:t>0,00</w:t>
            </w:r>
          </w:p>
        </w:tc>
        <w:tc>
          <w:tcPr>
            <w:tcW w:w="1134" w:type="dxa"/>
            <w:vAlign w:val="center"/>
          </w:tcPr>
          <w:p w:rsidR="00BC3BCB" w:rsidRPr="001F5812" w:rsidRDefault="00BC3BCB" w:rsidP="00BC3BCB">
            <w:pPr>
              <w:jc w:val="center"/>
              <w:rPr>
                <w:i/>
                <w:sz w:val="20"/>
              </w:rPr>
            </w:pPr>
            <w:r w:rsidRPr="001F5812">
              <w:rPr>
                <w:i/>
                <w:sz w:val="20"/>
              </w:rPr>
              <w:t>Sveučilište</w:t>
            </w:r>
          </w:p>
        </w:tc>
        <w:tc>
          <w:tcPr>
            <w:tcW w:w="851" w:type="dxa"/>
            <w:vAlign w:val="center"/>
          </w:tcPr>
          <w:p w:rsidR="00BC3BCB" w:rsidRPr="001F5812" w:rsidRDefault="00BC3BCB" w:rsidP="00BC3BCB">
            <w:pPr>
              <w:jc w:val="center"/>
              <w:rPr>
                <w:i/>
                <w:sz w:val="20"/>
              </w:rPr>
            </w:pPr>
          </w:p>
          <w:p w:rsidR="00BC3BCB" w:rsidRPr="001F5812" w:rsidRDefault="00BC3BCB" w:rsidP="00BC3BCB">
            <w:pPr>
              <w:jc w:val="center"/>
              <w:rPr>
                <w:i/>
                <w:sz w:val="20"/>
              </w:rPr>
            </w:pPr>
            <w:r w:rsidRPr="001F5812">
              <w:rPr>
                <w:i/>
                <w:sz w:val="20"/>
              </w:rPr>
              <w:t>0,00</w:t>
            </w:r>
          </w:p>
        </w:tc>
        <w:tc>
          <w:tcPr>
            <w:tcW w:w="850" w:type="dxa"/>
            <w:vAlign w:val="center"/>
          </w:tcPr>
          <w:p w:rsidR="00BC3BCB" w:rsidRPr="001F5812" w:rsidRDefault="00BC3BCB" w:rsidP="00BC3BCB">
            <w:pPr>
              <w:jc w:val="center"/>
              <w:rPr>
                <w:i/>
                <w:sz w:val="20"/>
              </w:rPr>
            </w:pPr>
          </w:p>
          <w:p w:rsidR="00BC3BCB" w:rsidRPr="001F5812" w:rsidRDefault="00BC3BCB" w:rsidP="00BC3BCB">
            <w:pPr>
              <w:jc w:val="center"/>
              <w:rPr>
                <w:i/>
                <w:sz w:val="20"/>
              </w:rPr>
            </w:pPr>
            <w:r w:rsidRPr="001F5812">
              <w:rPr>
                <w:i/>
                <w:sz w:val="20"/>
              </w:rPr>
              <w:t>0,00</w:t>
            </w:r>
          </w:p>
        </w:tc>
        <w:tc>
          <w:tcPr>
            <w:tcW w:w="851" w:type="dxa"/>
            <w:vAlign w:val="center"/>
          </w:tcPr>
          <w:p w:rsidR="00BC3BCB" w:rsidRPr="001F5812" w:rsidRDefault="00BC3BCB" w:rsidP="00BC3BCB">
            <w:pPr>
              <w:jc w:val="center"/>
              <w:rPr>
                <w:i/>
                <w:sz w:val="20"/>
              </w:rPr>
            </w:pPr>
          </w:p>
          <w:p w:rsidR="00BC3BCB" w:rsidRPr="001F5812" w:rsidRDefault="00BC3BCB" w:rsidP="00BC3BCB">
            <w:pPr>
              <w:jc w:val="center"/>
              <w:rPr>
                <w:i/>
                <w:sz w:val="20"/>
              </w:rPr>
            </w:pPr>
            <w:r w:rsidRPr="001F5812">
              <w:rPr>
                <w:i/>
                <w:sz w:val="20"/>
              </w:rPr>
              <w:t>2000</w:t>
            </w:r>
          </w:p>
        </w:tc>
      </w:tr>
      <w:tr w:rsidR="00BC3BCB" w:rsidRPr="003231E9" w:rsidTr="00860A6E">
        <w:tblPrEx>
          <w:tblCellMar>
            <w:left w:w="108" w:type="dxa"/>
            <w:right w:w="108" w:type="dxa"/>
          </w:tblCellMar>
        </w:tblPrEx>
        <w:trPr>
          <w:jc w:val="center"/>
        </w:trPr>
        <w:tc>
          <w:tcPr>
            <w:tcW w:w="1838" w:type="dxa"/>
            <w:vAlign w:val="center"/>
          </w:tcPr>
          <w:p w:rsidR="00BC3BCB" w:rsidRPr="001F5812" w:rsidRDefault="00BC3BCB" w:rsidP="00BC3BCB">
            <w:pPr>
              <w:jc w:val="center"/>
              <w:rPr>
                <w:i/>
                <w:sz w:val="20"/>
                <w:szCs w:val="21"/>
              </w:rPr>
            </w:pPr>
            <w:r w:rsidRPr="001F5812">
              <w:rPr>
                <w:i/>
                <w:sz w:val="20"/>
                <w:szCs w:val="21"/>
              </w:rPr>
              <w:t>Broj formaliziranih suradnji s tijelima državne uprave i javnog sektor</w:t>
            </w:r>
            <w:r>
              <w:rPr>
                <w:i/>
                <w:sz w:val="20"/>
                <w:szCs w:val="21"/>
              </w:rPr>
              <w:t>a</w:t>
            </w:r>
          </w:p>
        </w:tc>
        <w:tc>
          <w:tcPr>
            <w:tcW w:w="1985" w:type="dxa"/>
            <w:vAlign w:val="center"/>
          </w:tcPr>
          <w:p w:rsidR="00BC3BCB" w:rsidRPr="001F5812" w:rsidRDefault="00BC3BCB" w:rsidP="00BC3BCB">
            <w:pPr>
              <w:rPr>
                <w:i/>
                <w:sz w:val="20"/>
              </w:rPr>
            </w:pPr>
            <w:r w:rsidRPr="001F5812">
              <w:rPr>
                <w:i/>
                <w:sz w:val="20"/>
              </w:rPr>
              <w:t>Suradnja  Sveučilišta i javnih tijela – JLPRS u projektima od javnog interesa</w:t>
            </w:r>
          </w:p>
        </w:tc>
        <w:tc>
          <w:tcPr>
            <w:tcW w:w="1275" w:type="dxa"/>
            <w:vAlign w:val="center"/>
          </w:tcPr>
          <w:p w:rsidR="00BC3BCB" w:rsidRPr="001F5812" w:rsidRDefault="00BC3BCB" w:rsidP="00BC3BCB">
            <w:pPr>
              <w:rPr>
                <w:i/>
                <w:sz w:val="20"/>
              </w:rPr>
            </w:pPr>
            <w:r w:rsidRPr="001F5812">
              <w:rPr>
                <w:i/>
                <w:sz w:val="20"/>
              </w:rPr>
              <w:t>Suradnja</w:t>
            </w:r>
          </w:p>
        </w:tc>
        <w:tc>
          <w:tcPr>
            <w:tcW w:w="998" w:type="dxa"/>
            <w:vAlign w:val="center"/>
          </w:tcPr>
          <w:p w:rsidR="00BC3BCB" w:rsidRPr="001F5812" w:rsidRDefault="00BC3BCB" w:rsidP="00BC3BCB">
            <w:pPr>
              <w:jc w:val="center"/>
              <w:rPr>
                <w:i/>
                <w:sz w:val="20"/>
              </w:rPr>
            </w:pPr>
            <w:r w:rsidRPr="001F5812">
              <w:rPr>
                <w:i/>
                <w:sz w:val="20"/>
              </w:rPr>
              <w:t>0</w:t>
            </w:r>
          </w:p>
        </w:tc>
        <w:tc>
          <w:tcPr>
            <w:tcW w:w="1134" w:type="dxa"/>
            <w:vAlign w:val="center"/>
          </w:tcPr>
          <w:p w:rsidR="00BC3BCB" w:rsidRPr="001F5812" w:rsidRDefault="00BC3BCB" w:rsidP="00BC3BCB">
            <w:pPr>
              <w:jc w:val="center"/>
              <w:rPr>
                <w:i/>
                <w:sz w:val="20"/>
              </w:rPr>
            </w:pPr>
            <w:r w:rsidRPr="001F5812">
              <w:rPr>
                <w:i/>
                <w:sz w:val="20"/>
              </w:rPr>
              <w:t>Sveučilište</w:t>
            </w:r>
          </w:p>
        </w:tc>
        <w:tc>
          <w:tcPr>
            <w:tcW w:w="851" w:type="dxa"/>
            <w:vAlign w:val="center"/>
          </w:tcPr>
          <w:p w:rsidR="00BC3BCB" w:rsidRPr="001F5812" w:rsidRDefault="00112899" w:rsidP="00BC3BCB">
            <w:pPr>
              <w:jc w:val="center"/>
              <w:rPr>
                <w:bCs/>
                <w:i/>
                <w:iCs/>
                <w:sz w:val="20"/>
              </w:rPr>
            </w:pPr>
            <w:r>
              <w:rPr>
                <w:bCs/>
                <w:i/>
                <w:iCs/>
                <w:sz w:val="20"/>
                <w:szCs w:val="20"/>
              </w:rPr>
              <w:t>1</w:t>
            </w:r>
          </w:p>
        </w:tc>
        <w:tc>
          <w:tcPr>
            <w:tcW w:w="850" w:type="dxa"/>
            <w:vAlign w:val="center"/>
          </w:tcPr>
          <w:p w:rsidR="00BC3BCB" w:rsidRPr="001F5812" w:rsidRDefault="00BC3BCB" w:rsidP="00BC3BCB">
            <w:pPr>
              <w:jc w:val="center"/>
              <w:rPr>
                <w:bCs/>
                <w:i/>
                <w:iCs/>
                <w:sz w:val="20"/>
              </w:rPr>
            </w:pPr>
            <w:r w:rsidRPr="001F5812">
              <w:rPr>
                <w:bCs/>
                <w:i/>
                <w:iCs/>
                <w:sz w:val="20"/>
                <w:szCs w:val="20"/>
              </w:rPr>
              <w:t>3</w:t>
            </w:r>
          </w:p>
        </w:tc>
        <w:tc>
          <w:tcPr>
            <w:tcW w:w="851" w:type="dxa"/>
            <w:vAlign w:val="center"/>
          </w:tcPr>
          <w:p w:rsidR="00BC3BCB" w:rsidRPr="001F5812" w:rsidRDefault="00BC3BCB" w:rsidP="00BC3BCB">
            <w:pPr>
              <w:jc w:val="center"/>
              <w:rPr>
                <w:bCs/>
                <w:i/>
                <w:iCs/>
                <w:sz w:val="20"/>
              </w:rPr>
            </w:pPr>
            <w:r w:rsidRPr="001F5812">
              <w:rPr>
                <w:bCs/>
                <w:i/>
                <w:iCs/>
                <w:sz w:val="20"/>
                <w:szCs w:val="20"/>
              </w:rPr>
              <w:t>5</w:t>
            </w:r>
          </w:p>
        </w:tc>
      </w:tr>
      <w:tr w:rsidR="00BC3BCB" w:rsidRPr="009520AC" w:rsidTr="00860A6E">
        <w:tblPrEx>
          <w:tblCellMar>
            <w:left w:w="108" w:type="dxa"/>
            <w:right w:w="108" w:type="dxa"/>
          </w:tblCellMar>
        </w:tblPrEx>
        <w:trPr>
          <w:jc w:val="center"/>
        </w:trPr>
        <w:tc>
          <w:tcPr>
            <w:tcW w:w="1838" w:type="dxa"/>
          </w:tcPr>
          <w:p w:rsidR="00BC3BCB" w:rsidRPr="009520AC" w:rsidRDefault="00BC3BCB" w:rsidP="00BC3BCB">
            <w:pPr>
              <w:jc w:val="center"/>
              <w:rPr>
                <w:i/>
                <w:sz w:val="20"/>
                <w:szCs w:val="14"/>
              </w:rPr>
            </w:pPr>
            <w:r>
              <w:rPr>
                <w:i/>
                <w:sz w:val="20"/>
                <w:szCs w:val="14"/>
              </w:rPr>
              <w:t>Broj redovitih studenata u STEM područjima u odnosu na ukupan broj redovitih studenata</w:t>
            </w:r>
          </w:p>
        </w:tc>
        <w:tc>
          <w:tcPr>
            <w:tcW w:w="1985" w:type="dxa"/>
            <w:vMerge w:val="restart"/>
            <w:vAlign w:val="center"/>
          </w:tcPr>
          <w:p w:rsidR="00BC3BCB" w:rsidRPr="009520AC" w:rsidRDefault="00BC3BCB" w:rsidP="00BC3BCB">
            <w:pPr>
              <w:jc w:val="center"/>
              <w:rPr>
                <w:i/>
                <w:sz w:val="20"/>
              </w:rPr>
            </w:pPr>
            <w:r w:rsidRPr="009520AC">
              <w:rPr>
                <w:i/>
                <w:sz w:val="20"/>
              </w:rPr>
              <w:t>Unaprjeđenje studija iz područja prirodnih, tehničkih, biotehničkih znanosti te biomedicine i zdravstva</w:t>
            </w:r>
          </w:p>
          <w:p w:rsidR="00BC3BCB" w:rsidRPr="009520AC" w:rsidRDefault="00BC3BCB" w:rsidP="00BC3BCB">
            <w:pPr>
              <w:jc w:val="center"/>
              <w:rPr>
                <w:i/>
                <w:sz w:val="20"/>
              </w:rPr>
            </w:pPr>
          </w:p>
        </w:tc>
        <w:tc>
          <w:tcPr>
            <w:tcW w:w="1275" w:type="dxa"/>
            <w:vAlign w:val="center"/>
          </w:tcPr>
          <w:p w:rsidR="00BC3BCB" w:rsidRPr="009520AC" w:rsidRDefault="00BC3BCB" w:rsidP="00BC3BCB">
            <w:pPr>
              <w:jc w:val="center"/>
              <w:rPr>
                <w:i/>
                <w:sz w:val="20"/>
              </w:rPr>
            </w:pPr>
            <w:r>
              <w:rPr>
                <w:i/>
                <w:sz w:val="20"/>
              </w:rPr>
              <w:t>Broj studenata</w:t>
            </w:r>
          </w:p>
        </w:tc>
        <w:tc>
          <w:tcPr>
            <w:tcW w:w="998" w:type="dxa"/>
            <w:vAlign w:val="center"/>
          </w:tcPr>
          <w:p w:rsidR="00BC3BCB" w:rsidRPr="009520AC" w:rsidRDefault="00BC3BCB" w:rsidP="00BC3BCB">
            <w:pPr>
              <w:jc w:val="center"/>
              <w:rPr>
                <w:i/>
                <w:sz w:val="20"/>
              </w:rPr>
            </w:pPr>
            <w:r>
              <w:rPr>
                <w:i/>
                <w:sz w:val="20"/>
              </w:rPr>
              <w:t>294</w:t>
            </w:r>
          </w:p>
        </w:tc>
        <w:tc>
          <w:tcPr>
            <w:tcW w:w="1134" w:type="dxa"/>
            <w:vAlign w:val="center"/>
          </w:tcPr>
          <w:p w:rsidR="00BC3BCB" w:rsidRPr="001F5812" w:rsidRDefault="00BC3BCB" w:rsidP="00BC3BCB">
            <w:pPr>
              <w:jc w:val="center"/>
              <w:rPr>
                <w:i/>
                <w:sz w:val="20"/>
              </w:rPr>
            </w:pPr>
            <w:r w:rsidRPr="001F5812">
              <w:rPr>
                <w:i/>
                <w:sz w:val="20"/>
              </w:rPr>
              <w:t>Sveučilište</w:t>
            </w:r>
          </w:p>
        </w:tc>
        <w:tc>
          <w:tcPr>
            <w:tcW w:w="851" w:type="dxa"/>
            <w:vAlign w:val="center"/>
          </w:tcPr>
          <w:p w:rsidR="00BC3BCB" w:rsidRPr="009520AC" w:rsidRDefault="00BC3BCB" w:rsidP="00BC3BCB">
            <w:pPr>
              <w:jc w:val="center"/>
              <w:rPr>
                <w:i/>
                <w:sz w:val="20"/>
              </w:rPr>
            </w:pPr>
            <w:r>
              <w:rPr>
                <w:i/>
                <w:sz w:val="20"/>
              </w:rPr>
              <w:t>3</w:t>
            </w:r>
            <w:r w:rsidR="00112899">
              <w:rPr>
                <w:i/>
                <w:sz w:val="20"/>
              </w:rPr>
              <w:t>00</w:t>
            </w:r>
          </w:p>
        </w:tc>
        <w:tc>
          <w:tcPr>
            <w:tcW w:w="850" w:type="dxa"/>
            <w:vAlign w:val="center"/>
          </w:tcPr>
          <w:p w:rsidR="00BC3BCB" w:rsidRPr="009520AC" w:rsidRDefault="00BC3BCB" w:rsidP="00BC3BCB">
            <w:pPr>
              <w:jc w:val="center"/>
              <w:rPr>
                <w:i/>
                <w:sz w:val="20"/>
              </w:rPr>
            </w:pPr>
            <w:r>
              <w:rPr>
                <w:i/>
                <w:sz w:val="20"/>
              </w:rPr>
              <w:t>310</w:t>
            </w:r>
          </w:p>
        </w:tc>
        <w:tc>
          <w:tcPr>
            <w:tcW w:w="851" w:type="dxa"/>
            <w:vAlign w:val="center"/>
          </w:tcPr>
          <w:p w:rsidR="00BC3BCB" w:rsidRPr="009520AC" w:rsidRDefault="00BC3BCB" w:rsidP="00BC3BCB">
            <w:pPr>
              <w:jc w:val="center"/>
              <w:rPr>
                <w:i/>
                <w:sz w:val="20"/>
              </w:rPr>
            </w:pPr>
            <w:r>
              <w:rPr>
                <w:i/>
                <w:sz w:val="20"/>
              </w:rPr>
              <w:t>320</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uvedenih inovativnih metoda</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Inovativna metoda</w:t>
            </w:r>
          </w:p>
        </w:tc>
        <w:tc>
          <w:tcPr>
            <w:tcW w:w="998" w:type="dxa"/>
            <w:vAlign w:val="center"/>
          </w:tcPr>
          <w:p w:rsidR="00112899" w:rsidRPr="009520AC" w:rsidRDefault="00112899" w:rsidP="00112899">
            <w:pPr>
              <w:jc w:val="center"/>
              <w:rPr>
                <w:i/>
                <w:sz w:val="20"/>
              </w:rPr>
            </w:pPr>
            <w:r>
              <w:rPr>
                <w:i/>
                <w:sz w:val="20"/>
              </w:rPr>
              <w:t>1</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2</w:t>
            </w:r>
          </w:p>
        </w:tc>
        <w:tc>
          <w:tcPr>
            <w:tcW w:w="850" w:type="dxa"/>
            <w:vAlign w:val="center"/>
          </w:tcPr>
          <w:p w:rsidR="00112899" w:rsidRPr="009520AC" w:rsidRDefault="00112899" w:rsidP="00112899">
            <w:pPr>
              <w:jc w:val="center"/>
              <w:rPr>
                <w:i/>
                <w:sz w:val="20"/>
              </w:rPr>
            </w:pPr>
            <w:r>
              <w:rPr>
                <w:i/>
                <w:sz w:val="20"/>
              </w:rPr>
              <w:t>2</w:t>
            </w:r>
          </w:p>
        </w:tc>
        <w:tc>
          <w:tcPr>
            <w:tcW w:w="851" w:type="dxa"/>
            <w:vAlign w:val="center"/>
          </w:tcPr>
          <w:p w:rsidR="00112899" w:rsidRPr="009520AC" w:rsidRDefault="00112899" w:rsidP="00112899">
            <w:pPr>
              <w:jc w:val="center"/>
              <w:rPr>
                <w:i/>
                <w:sz w:val="20"/>
              </w:rPr>
            </w:pPr>
            <w:r>
              <w:rPr>
                <w:i/>
                <w:sz w:val="20"/>
              </w:rPr>
              <w:t>4</w:t>
            </w:r>
          </w:p>
        </w:tc>
      </w:tr>
      <w:tr w:rsidR="00112899" w:rsidRPr="00A835AE" w:rsidTr="00860A6E">
        <w:tblPrEx>
          <w:tblCellMar>
            <w:left w:w="108" w:type="dxa"/>
            <w:right w:w="108" w:type="dxa"/>
          </w:tblCellMar>
        </w:tblPrEx>
        <w:trPr>
          <w:jc w:val="center"/>
        </w:trPr>
        <w:tc>
          <w:tcPr>
            <w:tcW w:w="1838" w:type="dxa"/>
          </w:tcPr>
          <w:p w:rsidR="00112899" w:rsidRPr="00F95E4C" w:rsidRDefault="00112899" w:rsidP="00112899">
            <w:pPr>
              <w:jc w:val="center"/>
              <w:rPr>
                <w:i/>
                <w:sz w:val="20"/>
              </w:rPr>
            </w:pPr>
            <w:r w:rsidRPr="00F95E4C">
              <w:rPr>
                <w:i/>
                <w:sz w:val="20"/>
              </w:rPr>
              <w:t>Udio norme zaposlenih nastavnika i suradnika po studiju u ukupnoj normi akreditiranih diplomskih i prijediplomskih studija</w:t>
            </w:r>
          </w:p>
        </w:tc>
        <w:tc>
          <w:tcPr>
            <w:tcW w:w="1985" w:type="dxa"/>
            <w:vAlign w:val="center"/>
          </w:tcPr>
          <w:p w:rsidR="00112899" w:rsidRPr="009520AC" w:rsidRDefault="00112899" w:rsidP="00112899">
            <w:pPr>
              <w:jc w:val="center"/>
              <w:rPr>
                <w:i/>
                <w:sz w:val="20"/>
              </w:rPr>
            </w:pPr>
            <w:r w:rsidRPr="009520AC">
              <w:rPr>
                <w:i/>
                <w:sz w:val="20"/>
              </w:rPr>
              <w:t xml:space="preserve">Modernizacija studijskih programa - Optimizacija broja stalno zaposlenih nastavnika i suradnika s normom opterećenja u nastavi na svim prijediplomskim i diplomskim studijima na </w:t>
            </w:r>
            <w:r>
              <w:rPr>
                <w:i/>
                <w:sz w:val="20"/>
              </w:rPr>
              <w:t>sve</w:t>
            </w:r>
            <w:r w:rsidRPr="009520AC">
              <w:rPr>
                <w:i/>
                <w:sz w:val="20"/>
              </w:rPr>
              <w:t>učilištu</w:t>
            </w:r>
          </w:p>
        </w:tc>
        <w:tc>
          <w:tcPr>
            <w:tcW w:w="1275" w:type="dxa"/>
            <w:vAlign w:val="center"/>
          </w:tcPr>
          <w:p w:rsidR="00112899" w:rsidRPr="009520AC" w:rsidRDefault="00112899" w:rsidP="00112899">
            <w:pPr>
              <w:jc w:val="center"/>
              <w:rPr>
                <w:i/>
                <w:sz w:val="20"/>
              </w:rPr>
            </w:pPr>
            <w:r>
              <w:rPr>
                <w:i/>
                <w:sz w:val="20"/>
              </w:rPr>
              <w:t>norma</w:t>
            </w:r>
          </w:p>
        </w:tc>
        <w:tc>
          <w:tcPr>
            <w:tcW w:w="998" w:type="dxa"/>
            <w:vAlign w:val="center"/>
          </w:tcPr>
          <w:p w:rsidR="00112899" w:rsidRPr="009520AC" w:rsidRDefault="00112899" w:rsidP="00112899">
            <w:pPr>
              <w:jc w:val="center"/>
              <w:rPr>
                <w:i/>
                <w:sz w:val="20"/>
              </w:rPr>
            </w:pPr>
            <w:r>
              <w:rPr>
                <w:i/>
                <w:sz w:val="20"/>
              </w:rPr>
              <w:t>0,84</w:t>
            </w:r>
          </w:p>
        </w:tc>
        <w:tc>
          <w:tcPr>
            <w:tcW w:w="1134" w:type="dxa"/>
            <w:vAlign w:val="center"/>
          </w:tcPr>
          <w:p w:rsidR="00112899" w:rsidRPr="009520AC" w:rsidRDefault="00112899" w:rsidP="00112899">
            <w:pPr>
              <w:jc w:val="center"/>
              <w:rPr>
                <w:i/>
                <w:sz w:val="20"/>
              </w:rPr>
            </w:pPr>
            <w:r>
              <w:rPr>
                <w:i/>
                <w:sz w:val="20"/>
              </w:rPr>
              <w:t>Sveučilište</w:t>
            </w:r>
          </w:p>
        </w:tc>
        <w:tc>
          <w:tcPr>
            <w:tcW w:w="851" w:type="dxa"/>
            <w:vAlign w:val="center"/>
          </w:tcPr>
          <w:p w:rsidR="00112899" w:rsidRPr="009520AC" w:rsidRDefault="00112899" w:rsidP="00112899">
            <w:pPr>
              <w:jc w:val="center"/>
              <w:rPr>
                <w:i/>
                <w:sz w:val="20"/>
              </w:rPr>
            </w:pPr>
            <w:r>
              <w:rPr>
                <w:i/>
                <w:sz w:val="20"/>
              </w:rPr>
              <w:t>0,85</w:t>
            </w:r>
          </w:p>
        </w:tc>
        <w:tc>
          <w:tcPr>
            <w:tcW w:w="850" w:type="dxa"/>
            <w:vAlign w:val="center"/>
          </w:tcPr>
          <w:p w:rsidR="00112899" w:rsidRPr="009520AC" w:rsidRDefault="00112899" w:rsidP="00112899">
            <w:pPr>
              <w:jc w:val="center"/>
              <w:rPr>
                <w:i/>
                <w:sz w:val="20"/>
              </w:rPr>
            </w:pPr>
            <w:r>
              <w:rPr>
                <w:i/>
                <w:sz w:val="20"/>
              </w:rPr>
              <w:t>0,86</w:t>
            </w:r>
          </w:p>
        </w:tc>
        <w:tc>
          <w:tcPr>
            <w:tcW w:w="851" w:type="dxa"/>
            <w:vAlign w:val="center"/>
          </w:tcPr>
          <w:p w:rsidR="00112899" w:rsidRPr="009520AC" w:rsidRDefault="00112899" w:rsidP="00112899">
            <w:pPr>
              <w:jc w:val="center"/>
              <w:rPr>
                <w:i/>
                <w:sz w:val="20"/>
              </w:rPr>
            </w:pPr>
            <w:r>
              <w:rPr>
                <w:i/>
                <w:sz w:val="20"/>
              </w:rPr>
              <w:t>0,90</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sidRPr="002B23AC">
              <w:rPr>
                <w:i/>
                <w:sz w:val="20"/>
                <w:szCs w:val="14"/>
              </w:rPr>
              <w:t>Broj studenata koji sudjeluju na nacionalnim i međunarodnim natjecanjima u području studija</w:t>
            </w:r>
          </w:p>
        </w:tc>
        <w:tc>
          <w:tcPr>
            <w:tcW w:w="1985" w:type="dxa"/>
            <w:vAlign w:val="center"/>
          </w:tcPr>
          <w:p w:rsidR="00112899" w:rsidRPr="009520AC" w:rsidRDefault="00112899" w:rsidP="00112899">
            <w:pPr>
              <w:jc w:val="center"/>
              <w:rPr>
                <w:i/>
                <w:sz w:val="20"/>
              </w:rPr>
            </w:pPr>
            <w:r w:rsidRPr="002B23AC">
              <w:rPr>
                <w:i/>
                <w:sz w:val="20"/>
              </w:rPr>
              <w:t>Modernizacija studijskih programa - stjecanje praktičnih kompetencija studenata sudjelovanjem na nacionalnim i međunarodnim natjecanjima u području studija</w:t>
            </w:r>
          </w:p>
        </w:tc>
        <w:tc>
          <w:tcPr>
            <w:tcW w:w="1275" w:type="dxa"/>
            <w:vAlign w:val="center"/>
          </w:tcPr>
          <w:p w:rsidR="00112899" w:rsidRPr="009520AC" w:rsidRDefault="00112899" w:rsidP="00112899">
            <w:pPr>
              <w:jc w:val="center"/>
              <w:rPr>
                <w:i/>
                <w:sz w:val="20"/>
              </w:rPr>
            </w:pPr>
            <w:r>
              <w:rPr>
                <w:i/>
                <w:sz w:val="20"/>
              </w:rPr>
              <w:t>Broj studenata</w:t>
            </w:r>
          </w:p>
        </w:tc>
        <w:tc>
          <w:tcPr>
            <w:tcW w:w="998" w:type="dxa"/>
            <w:vAlign w:val="center"/>
          </w:tcPr>
          <w:p w:rsidR="00112899" w:rsidRPr="009520AC" w:rsidRDefault="00112899" w:rsidP="00112899">
            <w:pPr>
              <w:jc w:val="center"/>
              <w:rPr>
                <w:i/>
                <w:sz w:val="20"/>
              </w:rPr>
            </w:pPr>
            <w:r>
              <w:rPr>
                <w:i/>
                <w:sz w:val="20"/>
              </w:rPr>
              <w:t>50</w:t>
            </w:r>
          </w:p>
        </w:tc>
        <w:tc>
          <w:tcPr>
            <w:tcW w:w="1134" w:type="dxa"/>
            <w:vAlign w:val="center"/>
          </w:tcPr>
          <w:p w:rsidR="00112899" w:rsidRPr="009520AC" w:rsidRDefault="00112899" w:rsidP="00112899">
            <w:pPr>
              <w:jc w:val="center"/>
              <w:rPr>
                <w:i/>
                <w:sz w:val="20"/>
              </w:rPr>
            </w:pPr>
            <w:r>
              <w:rPr>
                <w:i/>
                <w:sz w:val="20"/>
              </w:rPr>
              <w:t>Sveučilište</w:t>
            </w:r>
          </w:p>
        </w:tc>
        <w:tc>
          <w:tcPr>
            <w:tcW w:w="851" w:type="dxa"/>
            <w:vAlign w:val="center"/>
          </w:tcPr>
          <w:p w:rsidR="00112899" w:rsidRPr="009520AC" w:rsidRDefault="00112899" w:rsidP="00112899">
            <w:pPr>
              <w:jc w:val="center"/>
              <w:rPr>
                <w:i/>
                <w:sz w:val="20"/>
              </w:rPr>
            </w:pPr>
            <w:r>
              <w:rPr>
                <w:i/>
                <w:sz w:val="20"/>
              </w:rPr>
              <w:t>60</w:t>
            </w:r>
          </w:p>
        </w:tc>
        <w:tc>
          <w:tcPr>
            <w:tcW w:w="850" w:type="dxa"/>
            <w:vAlign w:val="center"/>
          </w:tcPr>
          <w:p w:rsidR="00112899" w:rsidRPr="009520AC" w:rsidRDefault="00112899" w:rsidP="00112899">
            <w:pPr>
              <w:jc w:val="center"/>
              <w:rPr>
                <w:i/>
                <w:sz w:val="20"/>
              </w:rPr>
            </w:pPr>
            <w:r>
              <w:rPr>
                <w:i/>
                <w:sz w:val="20"/>
              </w:rPr>
              <w:t>80</w:t>
            </w:r>
          </w:p>
        </w:tc>
        <w:tc>
          <w:tcPr>
            <w:tcW w:w="851" w:type="dxa"/>
            <w:vAlign w:val="center"/>
          </w:tcPr>
          <w:p w:rsidR="00112899" w:rsidRPr="009520AC" w:rsidRDefault="00112899" w:rsidP="00112899">
            <w:pPr>
              <w:jc w:val="center"/>
              <w:rPr>
                <w:i/>
                <w:sz w:val="20"/>
              </w:rPr>
            </w:pPr>
            <w:r>
              <w:rPr>
                <w:i/>
                <w:sz w:val="20"/>
              </w:rPr>
              <w:t>110</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sidRPr="002B23AC">
              <w:rPr>
                <w:i/>
                <w:sz w:val="20"/>
                <w:szCs w:val="14"/>
              </w:rPr>
              <w:t>Broj dodijeljenih studentskih stipendija</w:t>
            </w:r>
          </w:p>
        </w:tc>
        <w:tc>
          <w:tcPr>
            <w:tcW w:w="1985" w:type="dxa"/>
            <w:vAlign w:val="center"/>
          </w:tcPr>
          <w:p w:rsidR="00112899" w:rsidRPr="009520AC" w:rsidRDefault="00112899" w:rsidP="00112899">
            <w:pPr>
              <w:jc w:val="center"/>
              <w:rPr>
                <w:i/>
                <w:sz w:val="20"/>
              </w:rPr>
            </w:pPr>
            <w:r w:rsidRPr="002B23AC">
              <w:rPr>
                <w:i/>
                <w:sz w:val="20"/>
              </w:rPr>
              <w:t>Unapređenje studentskog standarda dodjelom stipendija studentima prijediplomskog i diplomskog studija financiranih iz vlastitih izvora javnog visokog učilišta</w:t>
            </w:r>
          </w:p>
        </w:tc>
        <w:tc>
          <w:tcPr>
            <w:tcW w:w="1275" w:type="dxa"/>
            <w:vAlign w:val="center"/>
          </w:tcPr>
          <w:p w:rsidR="00112899" w:rsidRPr="009520AC" w:rsidRDefault="00112899" w:rsidP="00112899">
            <w:pPr>
              <w:jc w:val="center"/>
              <w:rPr>
                <w:i/>
                <w:sz w:val="20"/>
              </w:rPr>
            </w:pPr>
            <w:r>
              <w:rPr>
                <w:i/>
                <w:sz w:val="20"/>
              </w:rPr>
              <w:t>Broj stipendija</w:t>
            </w:r>
          </w:p>
        </w:tc>
        <w:tc>
          <w:tcPr>
            <w:tcW w:w="998" w:type="dxa"/>
            <w:vAlign w:val="center"/>
          </w:tcPr>
          <w:p w:rsidR="00112899" w:rsidRPr="009520AC" w:rsidRDefault="00112899" w:rsidP="00112899">
            <w:pPr>
              <w:jc w:val="center"/>
              <w:rPr>
                <w:i/>
                <w:sz w:val="20"/>
              </w:rPr>
            </w:pPr>
            <w:r>
              <w:rPr>
                <w:i/>
                <w:sz w:val="20"/>
              </w:rPr>
              <w:t>13</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20</w:t>
            </w:r>
          </w:p>
        </w:tc>
        <w:tc>
          <w:tcPr>
            <w:tcW w:w="850" w:type="dxa"/>
            <w:vAlign w:val="center"/>
          </w:tcPr>
          <w:p w:rsidR="00112899" w:rsidRPr="009520AC" w:rsidRDefault="00112899" w:rsidP="00112899">
            <w:pPr>
              <w:jc w:val="center"/>
              <w:rPr>
                <w:i/>
                <w:sz w:val="20"/>
              </w:rPr>
            </w:pPr>
            <w:r>
              <w:rPr>
                <w:i/>
                <w:sz w:val="20"/>
              </w:rPr>
              <w:t>31</w:t>
            </w:r>
          </w:p>
        </w:tc>
        <w:tc>
          <w:tcPr>
            <w:tcW w:w="851" w:type="dxa"/>
            <w:vAlign w:val="center"/>
          </w:tcPr>
          <w:p w:rsidR="00112899" w:rsidRPr="009520AC" w:rsidRDefault="00112899" w:rsidP="00112899">
            <w:pPr>
              <w:jc w:val="center"/>
              <w:rPr>
                <w:i/>
                <w:sz w:val="20"/>
              </w:rPr>
            </w:pPr>
            <w:r>
              <w:rPr>
                <w:i/>
                <w:sz w:val="20"/>
              </w:rPr>
              <w:t>33</w:t>
            </w:r>
          </w:p>
        </w:tc>
      </w:tr>
      <w:tr w:rsidR="00112899" w:rsidRPr="009520AC" w:rsidTr="00860A6E">
        <w:tblPrEx>
          <w:tblCellMar>
            <w:left w:w="108" w:type="dxa"/>
            <w:right w:w="108" w:type="dxa"/>
          </w:tblCellMar>
        </w:tblPrEx>
        <w:trPr>
          <w:jc w:val="center"/>
        </w:trPr>
        <w:tc>
          <w:tcPr>
            <w:tcW w:w="1838" w:type="dxa"/>
            <w:vMerge w:val="restart"/>
          </w:tcPr>
          <w:p w:rsidR="00112899" w:rsidRPr="009520AC" w:rsidRDefault="00112899" w:rsidP="00112899">
            <w:pPr>
              <w:jc w:val="center"/>
              <w:rPr>
                <w:i/>
                <w:sz w:val="20"/>
                <w:szCs w:val="14"/>
              </w:rPr>
            </w:pPr>
            <w:r>
              <w:rPr>
                <w:i/>
                <w:sz w:val="20"/>
                <w:szCs w:val="14"/>
              </w:rPr>
              <w:t>Broj uspješnih projektnih prijava na kompetitivne izvore financiranja</w:t>
            </w:r>
          </w:p>
        </w:tc>
        <w:tc>
          <w:tcPr>
            <w:tcW w:w="1985" w:type="dxa"/>
            <w:vMerge w:val="restart"/>
            <w:vAlign w:val="center"/>
          </w:tcPr>
          <w:p w:rsidR="00112899" w:rsidRPr="009520AC" w:rsidRDefault="00112899" w:rsidP="00112899">
            <w:pPr>
              <w:jc w:val="center"/>
              <w:rPr>
                <w:i/>
                <w:sz w:val="20"/>
              </w:rPr>
            </w:pPr>
            <w:r>
              <w:rPr>
                <w:i/>
                <w:sz w:val="20"/>
              </w:rPr>
              <w:t>Prijave i realizacije kompetitivnih projekata iz NPOO (a) i drugih izvora (b)</w:t>
            </w:r>
          </w:p>
        </w:tc>
        <w:tc>
          <w:tcPr>
            <w:tcW w:w="1275" w:type="dxa"/>
            <w:vAlign w:val="center"/>
          </w:tcPr>
          <w:p w:rsidR="00112899" w:rsidRPr="009520AC" w:rsidRDefault="00112899" w:rsidP="00112899">
            <w:pPr>
              <w:jc w:val="center"/>
              <w:rPr>
                <w:i/>
                <w:sz w:val="20"/>
              </w:rPr>
            </w:pPr>
            <w:r>
              <w:rPr>
                <w:i/>
                <w:sz w:val="20"/>
              </w:rPr>
              <w:t xml:space="preserve">Broj prijava NPOO </w:t>
            </w:r>
            <w:proofErr w:type="spellStart"/>
            <w:r>
              <w:rPr>
                <w:i/>
                <w:sz w:val="20"/>
              </w:rPr>
              <w:t>institu</w:t>
            </w:r>
            <w:proofErr w:type="spellEnd"/>
            <w:r>
              <w:rPr>
                <w:i/>
                <w:sz w:val="20"/>
              </w:rPr>
              <w:t>.</w:t>
            </w:r>
          </w:p>
        </w:tc>
        <w:tc>
          <w:tcPr>
            <w:tcW w:w="998" w:type="dxa"/>
            <w:vAlign w:val="center"/>
          </w:tcPr>
          <w:p w:rsidR="00112899" w:rsidRPr="009520AC" w:rsidRDefault="00112899" w:rsidP="00112899">
            <w:pPr>
              <w:jc w:val="center"/>
              <w:rPr>
                <w:i/>
                <w:sz w:val="20"/>
              </w:rPr>
            </w:pPr>
            <w:r>
              <w:rPr>
                <w:i/>
                <w:sz w:val="20"/>
              </w:rPr>
              <w:t>0</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30</w:t>
            </w:r>
          </w:p>
        </w:tc>
        <w:tc>
          <w:tcPr>
            <w:tcW w:w="850" w:type="dxa"/>
            <w:vAlign w:val="center"/>
          </w:tcPr>
          <w:p w:rsidR="00112899" w:rsidRPr="009520AC" w:rsidRDefault="00112899" w:rsidP="00112899">
            <w:pPr>
              <w:jc w:val="center"/>
              <w:rPr>
                <w:i/>
                <w:sz w:val="20"/>
              </w:rPr>
            </w:pPr>
            <w:r>
              <w:rPr>
                <w:i/>
                <w:sz w:val="20"/>
              </w:rPr>
              <w:t>30</w:t>
            </w:r>
          </w:p>
        </w:tc>
        <w:tc>
          <w:tcPr>
            <w:tcW w:w="851" w:type="dxa"/>
            <w:vAlign w:val="center"/>
          </w:tcPr>
          <w:p w:rsidR="00112899" w:rsidRPr="009520AC" w:rsidRDefault="00112899" w:rsidP="00112899">
            <w:pPr>
              <w:jc w:val="center"/>
              <w:rPr>
                <w:i/>
                <w:sz w:val="20"/>
              </w:rPr>
            </w:pPr>
            <w:r>
              <w:rPr>
                <w:i/>
                <w:sz w:val="20"/>
              </w:rPr>
              <w:t>30</w:t>
            </w:r>
          </w:p>
        </w:tc>
      </w:tr>
      <w:tr w:rsidR="00112899" w:rsidRPr="009520AC" w:rsidTr="00860A6E">
        <w:tblPrEx>
          <w:tblCellMar>
            <w:left w:w="108" w:type="dxa"/>
            <w:right w:w="108" w:type="dxa"/>
          </w:tblCellMar>
        </w:tblPrEx>
        <w:trPr>
          <w:jc w:val="center"/>
        </w:trPr>
        <w:tc>
          <w:tcPr>
            <w:tcW w:w="1838" w:type="dxa"/>
            <w:vMerge/>
          </w:tcPr>
          <w:p w:rsidR="00112899" w:rsidRDefault="00112899" w:rsidP="00112899">
            <w:pPr>
              <w:jc w:val="center"/>
              <w:rPr>
                <w:i/>
                <w:sz w:val="20"/>
                <w:szCs w:val="14"/>
              </w:rPr>
            </w:pP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prijava ostali</w:t>
            </w:r>
          </w:p>
        </w:tc>
        <w:tc>
          <w:tcPr>
            <w:tcW w:w="998" w:type="dxa"/>
            <w:vAlign w:val="center"/>
          </w:tcPr>
          <w:p w:rsidR="00112899" w:rsidRPr="009520AC" w:rsidRDefault="00112899" w:rsidP="00112899">
            <w:pPr>
              <w:jc w:val="center"/>
              <w:rPr>
                <w:i/>
                <w:sz w:val="20"/>
              </w:rPr>
            </w:pPr>
            <w:r>
              <w:rPr>
                <w:i/>
                <w:sz w:val="20"/>
              </w:rPr>
              <w:t>9</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10</w:t>
            </w:r>
          </w:p>
        </w:tc>
        <w:tc>
          <w:tcPr>
            <w:tcW w:w="850" w:type="dxa"/>
            <w:vAlign w:val="center"/>
          </w:tcPr>
          <w:p w:rsidR="00112899" w:rsidRPr="009520AC" w:rsidRDefault="00112899" w:rsidP="00112899">
            <w:pPr>
              <w:jc w:val="center"/>
              <w:rPr>
                <w:i/>
                <w:sz w:val="20"/>
              </w:rPr>
            </w:pPr>
            <w:r>
              <w:rPr>
                <w:i/>
                <w:sz w:val="20"/>
              </w:rPr>
              <w:t>14</w:t>
            </w:r>
          </w:p>
        </w:tc>
        <w:tc>
          <w:tcPr>
            <w:tcW w:w="851" w:type="dxa"/>
            <w:vAlign w:val="center"/>
          </w:tcPr>
          <w:p w:rsidR="00112899" w:rsidRPr="009520AC" w:rsidRDefault="00112899" w:rsidP="00112899">
            <w:pPr>
              <w:jc w:val="center"/>
              <w:rPr>
                <w:i/>
                <w:sz w:val="20"/>
              </w:rPr>
            </w:pPr>
            <w:r>
              <w:rPr>
                <w:i/>
                <w:sz w:val="20"/>
              </w:rPr>
              <w:t>16</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uspješnih projektnih prijava za interdisciplinarne znanstvene projekte</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prijava</w:t>
            </w:r>
          </w:p>
        </w:tc>
        <w:tc>
          <w:tcPr>
            <w:tcW w:w="998" w:type="dxa"/>
            <w:vAlign w:val="center"/>
          </w:tcPr>
          <w:p w:rsidR="00112899" w:rsidRPr="009520AC" w:rsidRDefault="00112899" w:rsidP="00112899">
            <w:pPr>
              <w:jc w:val="center"/>
              <w:rPr>
                <w:i/>
                <w:sz w:val="20"/>
              </w:rPr>
            </w:pPr>
            <w:r>
              <w:rPr>
                <w:i/>
                <w:sz w:val="20"/>
              </w:rPr>
              <w:t>0</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3</w:t>
            </w:r>
          </w:p>
        </w:tc>
        <w:tc>
          <w:tcPr>
            <w:tcW w:w="850" w:type="dxa"/>
            <w:vAlign w:val="center"/>
          </w:tcPr>
          <w:p w:rsidR="00112899" w:rsidRPr="009520AC" w:rsidRDefault="00112899" w:rsidP="00112899">
            <w:pPr>
              <w:jc w:val="center"/>
              <w:rPr>
                <w:i/>
                <w:sz w:val="20"/>
              </w:rPr>
            </w:pPr>
            <w:r>
              <w:rPr>
                <w:i/>
                <w:sz w:val="20"/>
              </w:rPr>
              <w:t>5</w:t>
            </w:r>
          </w:p>
        </w:tc>
        <w:tc>
          <w:tcPr>
            <w:tcW w:w="851" w:type="dxa"/>
            <w:vAlign w:val="center"/>
          </w:tcPr>
          <w:p w:rsidR="00112899" w:rsidRPr="009520AC" w:rsidRDefault="00112899" w:rsidP="00112899">
            <w:pPr>
              <w:jc w:val="center"/>
              <w:rPr>
                <w:i/>
                <w:sz w:val="20"/>
              </w:rPr>
            </w:pPr>
            <w:r>
              <w:rPr>
                <w:i/>
                <w:sz w:val="20"/>
              </w:rPr>
              <w:t>5</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 xml:space="preserve">Broj znanstvenih radova u SCOPUS i </w:t>
            </w:r>
            <w:proofErr w:type="spellStart"/>
            <w:r>
              <w:rPr>
                <w:i/>
                <w:sz w:val="20"/>
                <w:szCs w:val="14"/>
              </w:rPr>
              <w:t>WoS</w:t>
            </w:r>
            <w:proofErr w:type="spellEnd"/>
            <w:r>
              <w:rPr>
                <w:i/>
                <w:sz w:val="20"/>
                <w:szCs w:val="14"/>
              </w:rPr>
              <w:t xml:space="preserve">, A1 </w:t>
            </w:r>
            <w:r>
              <w:rPr>
                <w:i/>
                <w:sz w:val="20"/>
                <w:szCs w:val="14"/>
              </w:rPr>
              <w:lastRenderedPageBreak/>
              <w:t>časopisima te međunarodno recenziranim zbornicima za društvene i humanističke znanosti te umjetničko područje</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znanstvenih radova</w:t>
            </w:r>
          </w:p>
        </w:tc>
        <w:tc>
          <w:tcPr>
            <w:tcW w:w="998" w:type="dxa"/>
            <w:vAlign w:val="center"/>
          </w:tcPr>
          <w:p w:rsidR="00112899" w:rsidRPr="009520AC" w:rsidRDefault="00112899" w:rsidP="00112899">
            <w:pPr>
              <w:jc w:val="center"/>
              <w:rPr>
                <w:i/>
                <w:sz w:val="20"/>
              </w:rPr>
            </w:pPr>
            <w:r>
              <w:rPr>
                <w:i/>
                <w:sz w:val="20"/>
              </w:rPr>
              <w:t>1020</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1050</w:t>
            </w:r>
          </w:p>
        </w:tc>
        <w:tc>
          <w:tcPr>
            <w:tcW w:w="850" w:type="dxa"/>
            <w:vAlign w:val="center"/>
          </w:tcPr>
          <w:p w:rsidR="00112899" w:rsidRPr="009520AC" w:rsidRDefault="00112899" w:rsidP="00112899">
            <w:pPr>
              <w:jc w:val="center"/>
              <w:rPr>
                <w:i/>
                <w:sz w:val="20"/>
              </w:rPr>
            </w:pPr>
            <w:r>
              <w:rPr>
                <w:i/>
                <w:sz w:val="20"/>
              </w:rPr>
              <w:t>1125</w:t>
            </w:r>
          </w:p>
        </w:tc>
        <w:tc>
          <w:tcPr>
            <w:tcW w:w="851" w:type="dxa"/>
            <w:vAlign w:val="center"/>
          </w:tcPr>
          <w:p w:rsidR="00112899" w:rsidRPr="009520AC" w:rsidRDefault="00112899" w:rsidP="00112899">
            <w:pPr>
              <w:jc w:val="center"/>
              <w:rPr>
                <w:i/>
                <w:sz w:val="20"/>
              </w:rPr>
            </w:pPr>
            <w:r>
              <w:rPr>
                <w:i/>
                <w:sz w:val="20"/>
              </w:rPr>
              <w:t>1240</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suradnji s inozemnim partnerima</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suradnji</w:t>
            </w:r>
          </w:p>
        </w:tc>
        <w:tc>
          <w:tcPr>
            <w:tcW w:w="998" w:type="dxa"/>
            <w:vAlign w:val="center"/>
          </w:tcPr>
          <w:p w:rsidR="00112899" w:rsidRPr="009520AC" w:rsidRDefault="00112899" w:rsidP="00112899">
            <w:pPr>
              <w:jc w:val="center"/>
              <w:rPr>
                <w:i/>
                <w:sz w:val="20"/>
              </w:rPr>
            </w:pPr>
            <w:r>
              <w:rPr>
                <w:i/>
                <w:sz w:val="20"/>
              </w:rPr>
              <w:t>109</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115</w:t>
            </w:r>
          </w:p>
        </w:tc>
        <w:tc>
          <w:tcPr>
            <w:tcW w:w="850" w:type="dxa"/>
            <w:vAlign w:val="center"/>
          </w:tcPr>
          <w:p w:rsidR="00112899" w:rsidRPr="009520AC" w:rsidRDefault="00112899" w:rsidP="00112899">
            <w:pPr>
              <w:jc w:val="center"/>
              <w:rPr>
                <w:i/>
                <w:sz w:val="20"/>
              </w:rPr>
            </w:pPr>
            <w:r>
              <w:rPr>
                <w:i/>
                <w:sz w:val="20"/>
              </w:rPr>
              <w:t>130</w:t>
            </w:r>
          </w:p>
        </w:tc>
        <w:tc>
          <w:tcPr>
            <w:tcW w:w="851" w:type="dxa"/>
            <w:vAlign w:val="center"/>
          </w:tcPr>
          <w:p w:rsidR="00112899" w:rsidRPr="009520AC" w:rsidRDefault="00112899" w:rsidP="00112899">
            <w:pPr>
              <w:jc w:val="center"/>
              <w:rPr>
                <w:i/>
                <w:sz w:val="20"/>
              </w:rPr>
            </w:pPr>
            <w:r>
              <w:rPr>
                <w:i/>
                <w:sz w:val="20"/>
              </w:rPr>
              <w:t>150</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projektnih prijava koje su ostvarene u suradnji sa stručnim službama javnog visokog učilišta odnosno javnog znanstvenog instituta</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prijava</w:t>
            </w:r>
          </w:p>
        </w:tc>
        <w:tc>
          <w:tcPr>
            <w:tcW w:w="998" w:type="dxa"/>
            <w:vAlign w:val="center"/>
          </w:tcPr>
          <w:p w:rsidR="00112899" w:rsidRPr="009520AC" w:rsidRDefault="00112899" w:rsidP="00112899">
            <w:pPr>
              <w:jc w:val="center"/>
              <w:rPr>
                <w:i/>
                <w:sz w:val="20"/>
              </w:rPr>
            </w:pPr>
            <w:r>
              <w:rPr>
                <w:i/>
                <w:sz w:val="20"/>
              </w:rPr>
              <w:t>0</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31</w:t>
            </w:r>
          </w:p>
        </w:tc>
        <w:tc>
          <w:tcPr>
            <w:tcW w:w="850" w:type="dxa"/>
            <w:vAlign w:val="center"/>
          </w:tcPr>
          <w:p w:rsidR="00112899" w:rsidRPr="009520AC" w:rsidRDefault="00112899" w:rsidP="00112899">
            <w:pPr>
              <w:jc w:val="center"/>
              <w:rPr>
                <w:i/>
                <w:sz w:val="20"/>
              </w:rPr>
            </w:pPr>
            <w:r>
              <w:rPr>
                <w:i/>
                <w:sz w:val="20"/>
              </w:rPr>
              <w:t>31</w:t>
            </w:r>
          </w:p>
        </w:tc>
        <w:tc>
          <w:tcPr>
            <w:tcW w:w="851" w:type="dxa"/>
            <w:vAlign w:val="center"/>
          </w:tcPr>
          <w:p w:rsidR="00112899" w:rsidRPr="009520AC" w:rsidRDefault="00112899" w:rsidP="00112899">
            <w:pPr>
              <w:jc w:val="center"/>
              <w:rPr>
                <w:i/>
                <w:sz w:val="20"/>
              </w:rPr>
            </w:pPr>
            <w:r>
              <w:rPr>
                <w:i/>
                <w:sz w:val="20"/>
              </w:rPr>
              <w:t>31</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znanstvenih knjiga uključujući i one za umjetničko područje</w:t>
            </w:r>
          </w:p>
        </w:tc>
        <w:tc>
          <w:tcPr>
            <w:tcW w:w="1985" w:type="dxa"/>
            <w:vAlign w:val="center"/>
          </w:tcPr>
          <w:p w:rsidR="00112899" w:rsidRPr="009520AC" w:rsidRDefault="00112899" w:rsidP="00112899">
            <w:pPr>
              <w:jc w:val="center"/>
              <w:rPr>
                <w:i/>
                <w:sz w:val="20"/>
              </w:rPr>
            </w:pPr>
            <w:r>
              <w:rPr>
                <w:i/>
                <w:sz w:val="20"/>
              </w:rPr>
              <w:t>Izdavačka djelatnost Sveučilišta</w:t>
            </w:r>
          </w:p>
        </w:tc>
        <w:tc>
          <w:tcPr>
            <w:tcW w:w="1275" w:type="dxa"/>
            <w:vAlign w:val="center"/>
          </w:tcPr>
          <w:p w:rsidR="00112899" w:rsidRPr="009520AC" w:rsidRDefault="00112899" w:rsidP="00112899">
            <w:pPr>
              <w:jc w:val="center"/>
              <w:rPr>
                <w:i/>
                <w:sz w:val="20"/>
              </w:rPr>
            </w:pPr>
            <w:r>
              <w:rPr>
                <w:i/>
                <w:sz w:val="20"/>
              </w:rPr>
              <w:t>Broj znanstvenih knjiga</w:t>
            </w:r>
          </w:p>
        </w:tc>
        <w:tc>
          <w:tcPr>
            <w:tcW w:w="998" w:type="dxa"/>
            <w:vAlign w:val="center"/>
          </w:tcPr>
          <w:p w:rsidR="00112899" w:rsidRPr="009520AC" w:rsidRDefault="00112899" w:rsidP="00112899">
            <w:pPr>
              <w:jc w:val="center"/>
              <w:rPr>
                <w:i/>
                <w:sz w:val="20"/>
              </w:rPr>
            </w:pPr>
            <w:r>
              <w:rPr>
                <w:i/>
                <w:sz w:val="20"/>
              </w:rPr>
              <w:t>36</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37</w:t>
            </w:r>
          </w:p>
        </w:tc>
        <w:tc>
          <w:tcPr>
            <w:tcW w:w="850" w:type="dxa"/>
            <w:vAlign w:val="center"/>
          </w:tcPr>
          <w:p w:rsidR="00112899" w:rsidRPr="009520AC" w:rsidRDefault="00112899" w:rsidP="00112899">
            <w:pPr>
              <w:jc w:val="center"/>
              <w:rPr>
                <w:i/>
                <w:sz w:val="20"/>
              </w:rPr>
            </w:pPr>
            <w:r>
              <w:rPr>
                <w:i/>
                <w:sz w:val="20"/>
              </w:rPr>
              <w:t>39</w:t>
            </w:r>
          </w:p>
        </w:tc>
        <w:tc>
          <w:tcPr>
            <w:tcW w:w="851" w:type="dxa"/>
            <w:vAlign w:val="center"/>
          </w:tcPr>
          <w:p w:rsidR="00112899" w:rsidRPr="009520AC" w:rsidRDefault="00112899" w:rsidP="00112899">
            <w:pPr>
              <w:jc w:val="center"/>
              <w:rPr>
                <w:i/>
                <w:sz w:val="20"/>
              </w:rPr>
            </w:pPr>
            <w:r>
              <w:rPr>
                <w:i/>
                <w:sz w:val="20"/>
              </w:rPr>
              <w:t>42</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aktivnosti popularizacije znanosti i umjetnosti</w:t>
            </w:r>
          </w:p>
        </w:tc>
        <w:tc>
          <w:tcPr>
            <w:tcW w:w="1985" w:type="dxa"/>
            <w:vAlign w:val="center"/>
          </w:tcPr>
          <w:p w:rsidR="00112899" w:rsidRPr="009520AC" w:rsidRDefault="00112899" w:rsidP="00112899">
            <w:pPr>
              <w:jc w:val="center"/>
              <w:rPr>
                <w:i/>
                <w:sz w:val="20"/>
              </w:rPr>
            </w:pPr>
            <w:r>
              <w:rPr>
                <w:i/>
                <w:sz w:val="20"/>
              </w:rPr>
              <w:t>Organizacija i održavanje znanstvenih i stručnih skupova</w:t>
            </w:r>
          </w:p>
        </w:tc>
        <w:tc>
          <w:tcPr>
            <w:tcW w:w="1275" w:type="dxa"/>
            <w:vAlign w:val="center"/>
          </w:tcPr>
          <w:p w:rsidR="00112899" w:rsidRPr="009520AC" w:rsidRDefault="00112899" w:rsidP="00112899">
            <w:pPr>
              <w:jc w:val="center"/>
              <w:rPr>
                <w:i/>
                <w:sz w:val="20"/>
              </w:rPr>
            </w:pPr>
            <w:r>
              <w:rPr>
                <w:i/>
                <w:sz w:val="20"/>
              </w:rPr>
              <w:t>Broj aktivnosti</w:t>
            </w:r>
          </w:p>
        </w:tc>
        <w:tc>
          <w:tcPr>
            <w:tcW w:w="998" w:type="dxa"/>
            <w:vAlign w:val="center"/>
          </w:tcPr>
          <w:p w:rsidR="00112899" w:rsidRPr="009520AC" w:rsidRDefault="00112899" w:rsidP="00112899">
            <w:pPr>
              <w:jc w:val="center"/>
              <w:rPr>
                <w:i/>
                <w:sz w:val="20"/>
              </w:rPr>
            </w:pPr>
            <w:r>
              <w:rPr>
                <w:i/>
                <w:sz w:val="20"/>
              </w:rPr>
              <w:t>31</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32</w:t>
            </w:r>
          </w:p>
        </w:tc>
        <w:tc>
          <w:tcPr>
            <w:tcW w:w="850" w:type="dxa"/>
            <w:vAlign w:val="center"/>
          </w:tcPr>
          <w:p w:rsidR="00112899" w:rsidRPr="009520AC" w:rsidRDefault="00112899" w:rsidP="00112899">
            <w:pPr>
              <w:jc w:val="center"/>
              <w:rPr>
                <w:i/>
                <w:sz w:val="20"/>
              </w:rPr>
            </w:pPr>
            <w:r>
              <w:rPr>
                <w:i/>
                <w:sz w:val="20"/>
              </w:rPr>
              <w:t>32</w:t>
            </w:r>
          </w:p>
        </w:tc>
        <w:tc>
          <w:tcPr>
            <w:tcW w:w="851" w:type="dxa"/>
            <w:vAlign w:val="center"/>
          </w:tcPr>
          <w:p w:rsidR="00112899" w:rsidRPr="009520AC" w:rsidRDefault="00112899" w:rsidP="00112899">
            <w:pPr>
              <w:jc w:val="center"/>
              <w:rPr>
                <w:i/>
                <w:sz w:val="20"/>
              </w:rPr>
            </w:pPr>
            <w:r>
              <w:rPr>
                <w:i/>
                <w:sz w:val="20"/>
              </w:rPr>
              <w:t>33</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formalnih suradnji s gospodarskim subjektima te ustanovama iz kulture i obrazovanja</w:t>
            </w:r>
          </w:p>
        </w:tc>
        <w:tc>
          <w:tcPr>
            <w:tcW w:w="1985" w:type="dxa"/>
            <w:vMerge w:val="restart"/>
            <w:vAlign w:val="center"/>
          </w:tcPr>
          <w:p w:rsidR="00112899" w:rsidRPr="009520AC" w:rsidRDefault="00112899" w:rsidP="00112899">
            <w:pPr>
              <w:jc w:val="center"/>
              <w:rPr>
                <w:i/>
                <w:sz w:val="20"/>
              </w:rPr>
            </w:pPr>
            <w:r w:rsidRPr="00ED2B2C">
              <w:rPr>
                <w:i/>
                <w:sz w:val="20"/>
              </w:rPr>
              <w:t xml:space="preserve">Provođenje programa kojima se jača društveni angažman </w:t>
            </w:r>
            <w:r>
              <w:rPr>
                <w:i/>
                <w:sz w:val="20"/>
              </w:rPr>
              <w:t>sve</w:t>
            </w:r>
            <w:r w:rsidRPr="00ED2B2C">
              <w:rPr>
                <w:i/>
                <w:sz w:val="20"/>
              </w:rPr>
              <w:t>učilišta u zajednici, pružanje usluga gospodarskim i javnim subjektima u razvoju obrazovanja i kulture</w:t>
            </w:r>
          </w:p>
        </w:tc>
        <w:tc>
          <w:tcPr>
            <w:tcW w:w="1275" w:type="dxa"/>
            <w:vAlign w:val="center"/>
          </w:tcPr>
          <w:p w:rsidR="00112899" w:rsidRPr="009520AC" w:rsidRDefault="00112899" w:rsidP="00112899">
            <w:pPr>
              <w:jc w:val="center"/>
              <w:rPr>
                <w:i/>
                <w:sz w:val="20"/>
              </w:rPr>
            </w:pPr>
            <w:r>
              <w:rPr>
                <w:i/>
                <w:sz w:val="20"/>
              </w:rPr>
              <w:t>Broj suradnji</w:t>
            </w:r>
          </w:p>
        </w:tc>
        <w:tc>
          <w:tcPr>
            <w:tcW w:w="998" w:type="dxa"/>
            <w:vAlign w:val="center"/>
          </w:tcPr>
          <w:p w:rsidR="00112899" w:rsidRPr="009520AC" w:rsidRDefault="00112899" w:rsidP="00112899">
            <w:pPr>
              <w:jc w:val="center"/>
              <w:rPr>
                <w:i/>
                <w:sz w:val="20"/>
              </w:rPr>
            </w:pPr>
            <w:r>
              <w:rPr>
                <w:i/>
                <w:sz w:val="20"/>
              </w:rPr>
              <w:t>16</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20</w:t>
            </w:r>
          </w:p>
        </w:tc>
        <w:tc>
          <w:tcPr>
            <w:tcW w:w="850" w:type="dxa"/>
            <w:vAlign w:val="center"/>
          </w:tcPr>
          <w:p w:rsidR="00112899" w:rsidRPr="009520AC" w:rsidRDefault="00112899" w:rsidP="00112899">
            <w:pPr>
              <w:jc w:val="center"/>
              <w:rPr>
                <w:i/>
                <w:sz w:val="20"/>
              </w:rPr>
            </w:pPr>
            <w:r>
              <w:rPr>
                <w:i/>
                <w:sz w:val="20"/>
              </w:rPr>
              <w:t>26</w:t>
            </w:r>
          </w:p>
        </w:tc>
        <w:tc>
          <w:tcPr>
            <w:tcW w:w="851" w:type="dxa"/>
            <w:vAlign w:val="center"/>
          </w:tcPr>
          <w:p w:rsidR="00112899" w:rsidRPr="009520AC" w:rsidRDefault="00112899" w:rsidP="00112899">
            <w:pPr>
              <w:jc w:val="center"/>
              <w:rPr>
                <w:i/>
                <w:sz w:val="20"/>
              </w:rPr>
            </w:pPr>
            <w:r>
              <w:rPr>
                <w:i/>
                <w:sz w:val="20"/>
              </w:rPr>
              <w:t>37</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uspješnih projektnih prijava za projekte primijenjenih istraživanja</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prijava</w:t>
            </w:r>
          </w:p>
        </w:tc>
        <w:tc>
          <w:tcPr>
            <w:tcW w:w="998" w:type="dxa"/>
            <w:vAlign w:val="center"/>
          </w:tcPr>
          <w:p w:rsidR="00112899" w:rsidRPr="009520AC" w:rsidRDefault="00112899" w:rsidP="00112899">
            <w:pPr>
              <w:jc w:val="center"/>
              <w:rPr>
                <w:i/>
                <w:sz w:val="20"/>
              </w:rPr>
            </w:pPr>
            <w:r>
              <w:rPr>
                <w:i/>
                <w:sz w:val="20"/>
              </w:rPr>
              <w:t>1</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1</w:t>
            </w:r>
          </w:p>
        </w:tc>
        <w:tc>
          <w:tcPr>
            <w:tcW w:w="850" w:type="dxa"/>
            <w:vAlign w:val="center"/>
          </w:tcPr>
          <w:p w:rsidR="00112899" w:rsidRPr="009520AC" w:rsidRDefault="00112899" w:rsidP="00112899">
            <w:pPr>
              <w:jc w:val="center"/>
              <w:rPr>
                <w:i/>
                <w:sz w:val="20"/>
              </w:rPr>
            </w:pPr>
            <w:r>
              <w:rPr>
                <w:i/>
                <w:sz w:val="20"/>
              </w:rPr>
              <w:t>1</w:t>
            </w:r>
          </w:p>
        </w:tc>
        <w:tc>
          <w:tcPr>
            <w:tcW w:w="851" w:type="dxa"/>
            <w:vAlign w:val="center"/>
          </w:tcPr>
          <w:p w:rsidR="00112899" w:rsidRPr="009520AC" w:rsidRDefault="00112899" w:rsidP="00112899">
            <w:pPr>
              <w:jc w:val="center"/>
              <w:rPr>
                <w:i/>
                <w:sz w:val="20"/>
              </w:rPr>
            </w:pPr>
            <w:r>
              <w:rPr>
                <w:i/>
                <w:sz w:val="20"/>
              </w:rPr>
              <w:t>1</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ugovorenih projekata za pružanje usluga gospodarstvu i javnim tijelima u razvoju kulture i obrazovanja</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Broj projekata</w:t>
            </w:r>
          </w:p>
        </w:tc>
        <w:tc>
          <w:tcPr>
            <w:tcW w:w="998" w:type="dxa"/>
            <w:vAlign w:val="center"/>
          </w:tcPr>
          <w:p w:rsidR="00112899" w:rsidRPr="009520AC" w:rsidRDefault="00112899" w:rsidP="00112899">
            <w:pPr>
              <w:jc w:val="center"/>
              <w:rPr>
                <w:i/>
                <w:sz w:val="20"/>
              </w:rPr>
            </w:pPr>
            <w:r>
              <w:rPr>
                <w:i/>
                <w:sz w:val="20"/>
              </w:rPr>
              <w:t>30</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40</w:t>
            </w:r>
          </w:p>
        </w:tc>
        <w:tc>
          <w:tcPr>
            <w:tcW w:w="850" w:type="dxa"/>
            <w:vAlign w:val="center"/>
          </w:tcPr>
          <w:p w:rsidR="00112899" w:rsidRPr="009520AC" w:rsidRDefault="00112899" w:rsidP="00112899">
            <w:pPr>
              <w:jc w:val="center"/>
              <w:rPr>
                <w:i/>
                <w:sz w:val="20"/>
              </w:rPr>
            </w:pPr>
            <w:r>
              <w:rPr>
                <w:i/>
                <w:sz w:val="20"/>
              </w:rPr>
              <w:t>50</w:t>
            </w:r>
          </w:p>
        </w:tc>
        <w:tc>
          <w:tcPr>
            <w:tcW w:w="851" w:type="dxa"/>
            <w:vAlign w:val="center"/>
          </w:tcPr>
          <w:p w:rsidR="00112899" w:rsidRPr="009520AC" w:rsidRDefault="00112899" w:rsidP="00112899">
            <w:pPr>
              <w:jc w:val="center"/>
              <w:rPr>
                <w:i/>
                <w:sz w:val="20"/>
              </w:rPr>
            </w:pPr>
            <w:r>
              <w:rPr>
                <w:i/>
                <w:sz w:val="20"/>
              </w:rPr>
              <w:t>80</w:t>
            </w:r>
          </w:p>
        </w:tc>
      </w:tr>
      <w:tr w:rsidR="00112899" w:rsidRPr="009520AC" w:rsidTr="00860A6E">
        <w:tblPrEx>
          <w:tblCellMar>
            <w:left w:w="108" w:type="dxa"/>
            <w:right w:w="108" w:type="dxa"/>
          </w:tblCellMar>
        </w:tblPrEx>
        <w:trPr>
          <w:jc w:val="center"/>
        </w:trPr>
        <w:tc>
          <w:tcPr>
            <w:tcW w:w="1838" w:type="dxa"/>
          </w:tcPr>
          <w:p w:rsidR="00112899" w:rsidRDefault="00112899" w:rsidP="00112899">
            <w:pPr>
              <w:jc w:val="center"/>
              <w:rPr>
                <w:i/>
                <w:sz w:val="20"/>
                <w:szCs w:val="14"/>
              </w:rPr>
            </w:pPr>
          </w:p>
          <w:p w:rsidR="00112899" w:rsidRDefault="00112899" w:rsidP="00112899">
            <w:pPr>
              <w:jc w:val="center"/>
              <w:rPr>
                <w:i/>
                <w:sz w:val="20"/>
                <w:szCs w:val="14"/>
              </w:rPr>
            </w:pPr>
          </w:p>
          <w:p w:rsidR="00112899" w:rsidRDefault="00112899" w:rsidP="00112899">
            <w:pPr>
              <w:jc w:val="center"/>
              <w:rPr>
                <w:i/>
                <w:sz w:val="20"/>
                <w:szCs w:val="14"/>
              </w:rPr>
            </w:pPr>
          </w:p>
          <w:p w:rsidR="00112899" w:rsidRDefault="00112899" w:rsidP="00112899">
            <w:pPr>
              <w:jc w:val="center"/>
              <w:rPr>
                <w:i/>
                <w:sz w:val="20"/>
                <w:szCs w:val="14"/>
              </w:rPr>
            </w:pPr>
          </w:p>
          <w:p w:rsidR="00112899" w:rsidRPr="009520AC" w:rsidRDefault="00112899" w:rsidP="00112899">
            <w:pPr>
              <w:jc w:val="center"/>
              <w:rPr>
                <w:i/>
                <w:sz w:val="20"/>
                <w:szCs w:val="14"/>
              </w:rPr>
            </w:pPr>
            <w:r w:rsidRPr="00B51FF5">
              <w:rPr>
                <w:i/>
                <w:sz w:val="20"/>
                <w:szCs w:val="14"/>
              </w:rPr>
              <w:t>Broj poduzetih mjera za promicanje kulture jednakosti i ravnopravnosti</w:t>
            </w:r>
          </w:p>
        </w:tc>
        <w:tc>
          <w:tcPr>
            <w:tcW w:w="1985" w:type="dxa"/>
            <w:vMerge w:val="restart"/>
            <w:vAlign w:val="center"/>
          </w:tcPr>
          <w:p w:rsidR="00112899" w:rsidRPr="009520AC" w:rsidRDefault="00112899" w:rsidP="00112899">
            <w:pPr>
              <w:jc w:val="center"/>
              <w:rPr>
                <w:i/>
                <w:sz w:val="20"/>
              </w:rPr>
            </w:pPr>
            <w:r w:rsidRPr="00B51FF5">
              <w:rPr>
                <w:i/>
                <w:sz w:val="20"/>
              </w:rPr>
              <w:t xml:space="preserve">Provođenje programa kojima se jača društveni angažman javnog visokog učilišta u zajednici - provedba radionica ili predavanja na temu promicanja različitosti, pravičnosti i socijalne </w:t>
            </w:r>
            <w:proofErr w:type="spellStart"/>
            <w:r w:rsidRPr="00B51FF5">
              <w:rPr>
                <w:i/>
                <w:sz w:val="20"/>
              </w:rPr>
              <w:t>uključivosti</w:t>
            </w:r>
            <w:proofErr w:type="spellEnd"/>
          </w:p>
        </w:tc>
        <w:tc>
          <w:tcPr>
            <w:tcW w:w="1275" w:type="dxa"/>
            <w:vAlign w:val="center"/>
          </w:tcPr>
          <w:p w:rsidR="00112899" w:rsidRPr="009520AC" w:rsidRDefault="00112899" w:rsidP="00112899">
            <w:pPr>
              <w:jc w:val="center"/>
              <w:rPr>
                <w:i/>
                <w:sz w:val="20"/>
              </w:rPr>
            </w:pPr>
            <w:r>
              <w:rPr>
                <w:i/>
                <w:sz w:val="20"/>
              </w:rPr>
              <w:t>Broj mjera</w:t>
            </w:r>
          </w:p>
        </w:tc>
        <w:tc>
          <w:tcPr>
            <w:tcW w:w="998" w:type="dxa"/>
            <w:vAlign w:val="center"/>
          </w:tcPr>
          <w:p w:rsidR="00112899" w:rsidRPr="00B51FF5" w:rsidRDefault="00112899" w:rsidP="00112899">
            <w:pPr>
              <w:jc w:val="center"/>
              <w:rPr>
                <w:i/>
                <w:sz w:val="18"/>
                <w:szCs w:val="18"/>
              </w:rPr>
            </w:pPr>
            <w:r w:rsidRPr="00B51FF5">
              <w:rPr>
                <w:i/>
                <w:sz w:val="18"/>
                <w:szCs w:val="18"/>
              </w:rPr>
              <w:t>2 krovna dokumenta, ali iz Plana rodne ravnopravnosti proizaći će više od 8 do 10 dokumenta.</w:t>
            </w:r>
          </w:p>
          <w:p w:rsidR="00112899" w:rsidRPr="00B51FF5" w:rsidRDefault="00112899" w:rsidP="00112899">
            <w:pPr>
              <w:jc w:val="center"/>
              <w:rPr>
                <w:i/>
                <w:sz w:val="18"/>
                <w:szCs w:val="18"/>
              </w:rPr>
            </w:pPr>
          </w:p>
          <w:p w:rsidR="00112899" w:rsidRPr="00B51FF5" w:rsidRDefault="00112899" w:rsidP="00112899">
            <w:pPr>
              <w:jc w:val="center"/>
              <w:rPr>
                <w:i/>
                <w:sz w:val="18"/>
                <w:szCs w:val="18"/>
              </w:rPr>
            </w:pPr>
            <w:r w:rsidRPr="00B51FF5">
              <w:rPr>
                <w:i/>
                <w:sz w:val="18"/>
                <w:szCs w:val="18"/>
              </w:rPr>
              <w:lastRenderedPageBreak/>
              <w:t>3 predavanja o rodnoj ravnopravnosti</w:t>
            </w:r>
          </w:p>
        </w:tc>
        <w:tc>
          <w:tcPr>
            <w:tcW w:w="1134" w:type="dxa"/>
            <w:vAlign w:val="center"/>
          </w:tcPr>
          <w:p w:rsidR="00112899" w:rsidRPr="001F5812" w:rsidRDefault="00112899" w:rsidP="00112899">
            <w:pPr>
              <w:jc w:val="center"/>
              <w:rPr>
                <w:i/>
                <w:sz w:val="20"/>
              </w:rPr>
            </w:pPr>
            <w:r w:rsidRPr="001F5812">
              <w:rPr>
                <w:i/>
                <w:sz w:val="20"/>
              </w:rPr>
              <w:lastRenderedPageBreak/>
              <w:t>Sveučilište</w:t>
            </w:r>
          </w:p>
        </w:tc>
        <w:tc>
          <w:tcPr>
            <w:tcW w:w="851" w:type="dxa"/>
            <w:vAlign w:val="center"/>
          </w:tcPr>
          <w:p w:rsidR="00112899" w:rsidRPr="009520AC" w:rsidRDefault="00112899" w:rsidP="00112899">
            <w:pPr>
              <w:jc w:val="center"/>
              <w:rPr>
                <w:i/>
                <w:sz w:val="20"/>
              </w:rPr>
            </w:pPr>
            <w:r>
              <w:rPr>
                <w:i/>
                <w:sz w:val="20"/>
              </w:rPr>
              <w:t>5</w:t>
            </w:r>
            <w:r w:rsidRPr="00B51FF5">
              <w:rPr>
                <w:i/>
                <w:sz w:val="20"/>
              </w:rPr>
              <w:t xml:space="preserve"> novih dokumenata i </w:t>
            </w:r>
            <w:r>
              <w:rPr>
                <w:i/>
                <w:sz w:val="20"/>
              </w:rPr>
              <w:t>2</w:t>
            </w:r>
            <w:r w:rsidRPr="00B51FF5">
              <w:rPr>
                <w:i/>
                <w:sz w:val="20"/>
              </w:rPr>
              <w:t xml:space="preserve"> predavanja na temu promicanja rodne ravnopravnosti</w:t>
            </w:r>
          </w:p>
        </w:tc>
        <w:tc>
          <w:tcPr>
            <w:tcW w:w="850" w:type="dxa"/>
            <w:vAlign w:val="center"/>
          </w:tcPr>
          <w:p w:rsidR="00112899" w:rsidRPr="009520AC" w:rsidRDefault="00112899" w:rsidP="00112899">
            <w:pPr>
              <w:jc w:val="center"/>
              <w:rPr>
                <w:i/>
                <w:sz w:val="20"/>
              </w:rPr>
            </w:pPr>
            <w:r w:rsidRPr="00B51FF5">
              <w:rPr>
                <w:i/>
                <w:sz w:val="20"/>
              </w:rPr>
              <w:t>8 novih dokumenata i 3 predavanja na temu promicanja rodne ravnopravnosti</w:t>
            </w:r>
          </w:p>
        </w:tc>
        <w:tc>
          <w:tcPr>
            <w:tcW w:w="851" w:type="dxa"/>
            <w:vAlign w:val="center"/>
          </w:tcPr>
          <w:p w:rsidR="00112899" w:rsidRPr="009520AC" w:rsidRDefault="00112899" w:rsidP="00112899">
            <w:pPr>
              <w:jc w:val="center"/>
              <w:rPr>
                <w:i/>
                <w:sz w:val="20"/>
              </w:rPr>
            </w:pPr>
            <w:r w:rsidRPr="00B51FF5">
              <w:rPr>
                <w:i/>
                <w:sz w:val="20"/>
              </w:rPr>
              <w:t xml:space="preserve">ukupno 10 dokumenata, ukupno 6 predavanja na temu promicanja rodne </w:t>
            </w:r>
            <w:r w:rsidRPr="00B51FF5">
              <w:rPr>
                <w:i/>
                <w:sz w:val="20"/>
              </w:rPr>
              <w:lastRenderedPageBreak/>
              <w:t>ravnopravnosti</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lastRenderedPageBreak/>
              <w:t>Udio redovnih studenata iz ranjivih skupina u ukupnom broju redovitih studenata</w:t>
            </w:r>
          </w:p>
        </w:tc>
        <w:tc>
          <w:tcPr>
            <w:tcW w:w="1985" w:type="dxa"/>
            <w:vMerge/>
            <w:vAlign w:val="center"/>
          </w:tcPr>
          <w:p w:rsidR="00112899" w:rsidRPr="009520AC" w:rsidRDefault="00112899" w:rsidP="00112899">
            <w:pPr>
              <w:jc w:val="center"/>
              <w:rPr>
                <w:i/>
                <w:sz w:val="20"/>
              </w:rPr>
            </w:pPr>
          </w:p>
        </w:tc>
        <w:tc>
          <w:tcPr>
            <w:tcW w:w="1275" w:type="dxa"/>
            <w:vAlign w:val="center"/>
          </w:tcPr>
          <w:p w:rsidR="00112899" w:rsidRPr="009520AC" w:rsidRDefault="00112899" w:rsidP="00112899">
            <w:pPr>
              <w:jc w:val="center"/>
              <w:rPr>
                <w:i/>
                <w:sz w:val="20"/>
              </w:rPr>
            </w:pPr>
            <w:r>
              <w:rPr>
                <w:i/>
                <w:sz w:val="20"/>
              </w:rPr>
              <w:t>Udio studenata</w:t>
            </w:r>
          </w:p>
        </w:tc>
        <w:tc>
          <w:tcPr>
            <w:tcW w:w="998" w:type="dxa"/>
            <w:vAlign w:val="center"/>
          </w:tcPr>
          <w:p w:rsidR="00112899" w:rsidRPr="009520AC" w:rsidRDefault="00112899" w:rsidP="00112899">
            <w:pPr>
              <w:jc w:val="center"/>
              <w:rPr>
                <w:i/>
                <w:sz w:val="20"/>
              </w:rPr>
            </w:pPr>
            <w:r>
              <w:rPr>
                <w:i/>
                <w:sz w:val="20"/>
              </w:rPr>
              <w:t>0,03</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0,03</w:t>
            </w:r>
          </w:p>
        </w:tc>
        <w:tc>
          <w:tcPr>
            <w:tcW w:w="850" w:type="dxa"/>
            <w:vAlign w:val="center"/>
          </w:tcPr>
          <w:p w:rsidR="00112899" w:rsidRPr="009520AC" w:rsidRDefault="00112899" w:rsidP="00112899">
            <w:pPr>
              <w:jc w:val="center"/>
              <w:rPr>
                <w:i/>
                <w:sz w:val="20"/>
              </w:rPr>
            </w:pPr>
            <w:r>
              <w:rPr>
                <w:i/>
                <w:sz w:val="20"/>
              </w:rPr>
              <w:t>0,03</w:t>
            </w:r>
          </w:p>
        </w:tc>
        <w:tc>
          <w:tcPr>
            <w:tcW w:w="851" w:type="dxa"/>
            <w:vAlign w:val="center"/>
          </w:tcPr>
          <w:p w:rsidR="00112899" w:rsidRPr="009520AC" w:rsidRDefault="00112899" w:rsidP="00112899">
            <w:pPr>
              <w:jc w:val="center"/>
              <w:rPr>
                <w:i/>
                <w:sz w:val="20"/>
              </w:rPr>
            </w:pPr>
            <w:r>
              <w:rPr>
                <w:i/>
                <w:sz w:val="20"/>
              </w:rPr>
              <w:t>0,04</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studenata koji sudjeluju u međunarodnoj razmjeni</w:t>
            </w:r>
          </w:p>
        </w:tc>
        <w:tc>
          <w:tcPr>
            <w:tcW w:w="1985" w:type="dxa"/>
            <w:vAlign w:val="center"/>
          </w:tcPr>
          <w:p w:rsidR="00112899" w:rsidRPr="009520AC" w:rsidRDefault="00112899" w:rsidP="00112899">
            <w:pPr>
              <w:jc w:val="center"/>
              <w:rPr>
                <w:i/>
                <w:sz w:val="20"/>
              </w:rPr>
            </w:pPr>
            <w:r>
              <w:rPr>
                <w:i/>
                <w:sz w:val="20"/>
              </w:rPr>
              <w:t>Poticanje međunarodne mobilnosti i međunarodne međuinstitucionalne suradnje kroz odlaznu i dolaznu međunarodnu mobilnost studenata</w:t>
            </w:r>
          </w:p>
        </w:tc>
        <w:tc>
          <w:tcPr>
            <w:tcW w:w="1275" w:type="dxa"/>
            <w:vAlign w:val="center"/>
          </w:tcPr>
          <w:p w:rsidR="00112899" w:rsidRPr="009520AC" w:rsidRDefault="00112899" w:rsidP="00112899">
            <w:pPr>
              <w:jc w:val="center"/>
              <w:rPr>
                <w:i/>
                <w:sz w:val="20"/>
              </w:rPr>
            </w:pPr>
            <w:r>
              <w:rPr>
                <w:i/>
                <w:sz w:val="20"/>
              </w:rPr>
              <w:t>Broj studenata</w:t>
            </w:r>
          </w:p>
        </w:tc>
        <w:tc>
          <w:tcPr>
            <w:tcW w:w="998" w:type="dxa"/>
            <w:vAlign w:val="center"/>
          </w:tcPr>
          <w:p w:rsidR="00112899" w:rsidRPr="009520AC" w:rsidRDefault="00112899" w:rsidP="00112899">
            <w:pPr>
              <w:jc w:val="center"/>
              <w:rPr>
                <w:i/>
                <w:sz w:val="20"/>
              </w:rPr>
            </w:pPr>
            <w:r>
              <w:rPr>
                <w:i/>
                <w:sz w:val="20"/>
              </w:rPr>
              <w:t>89</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90</w:t>
            </w:r>
          </w:p>
        </w:tc>
        <w:tc>
          <w:tcPr>
            <w:tcW w:w="850" w:type="dxa"/>
            <w:vAlign w:val="center"/>
          </w:tcPr>
          <w:p w:rsidR="00112899" w:rsidRPr="009520AC" w:rsidRDefault="00112899" w:rsidP="00112899">
            <w:pPr>
              <w:jc w:val="center"/>
              <w:rPr>
                <w:i/>
                <w:sz w:val="20"/>
              </w:rPr>
            </w:pPr>
            <w:r>
              <w:rPr>
                <w:i/>
                <w:sz w:val="20"/>
              </w:rPr>
              <w:t>96</w:t>
            </w:r>
          </w:p>
        </w:tc>
        <w:tc>
          <w:tcPr>
            <w:tcW w:w="851" w:type="dxa"/>
            <w:vAlign w:val="center"/>
          </w:tcPr>
          <w:p w:rsidR="00112899" w:rsidRPr="009520AC" w:rsidRDefault="00112899" w:rsidP="00112899">
            <w:pPr>
              <w:jc w:val="center"/>
              <w:rPr>
                <w:i/>
                <w:sz w:val="20"/>
              </w:rPr>
            </w:pPr>
            <w:r>
              <w:rPr>
                <w:i/>
                <w:sz w:val="20"/>
              </w:rPr>
              <w:t>100</w:t>
            </w:r>
          </w:p>
        </w:tc>
      </w:tr>
      <w:tr w:rsidR="00112899" w:rsidRPr="009520AC" w:rsidTr="00860A6E">
        <w:tblPrEx>
          <w:tblCellMar>
            <w:left w:w="108" w:type="dxa"/>
            <w:right w:w="108" w:type="dxa"/>
          </w:tblCellMar>
        </w:tblPrEx>
        <w:trPr>
          <w:jc w:val="center"/>
        </w:trPr>
        <w:tc>
          <w:tcPr>
            <w:tcW w:w="1838" w:type="dxa"/>
          </w:tcPr>
          <w:p w:rsidR="00112899" w:rsidRPr="009520AC" w:rsidRDefault="00112899" w:rsidP="00112899">
            <w:pPr>
              <w:jc w:val="center"/>
              <w:rPr>
                <w:i/>
                <w:sz w:val="20"/>
                <w:szCs w:val="14"/>
              </w:rPr>
            </w:pPr>
            <w:r>
              <w:rPr>
                <w:i/>
                <w:sz w:val="20"/>
                <w:szCs w:val="14"/>
              </w:rPr>
              <w:t>Broj aktivnosti popularizacije znanosti i umjetnosti</w:t>
            </w:r>
          </w:p>
        </w:tc>
        <w:tc>
          <w:tcPr>
            <w:tcW w:w="1985" w:type="dxa"/>
            <w:vAlign w:val="center"/>
          </w:tcPr>
          <w:p w:rsidR="00112899" w:rsidRPr="009520AC" w:rsidRDefault="00112899" w:rsidP="00112899">
            <w:pPr>
              <w:jc w:val="center"/>
              <w:rPr>
                <w:i/>
                <w:sz w:val="20"/>
              </w:rPr>
            </w:pPr>
            <w:r>
              <w:rPr>
                <w:i/>
                <w:sz w:val="20"/>
              </w:rPr>
              <w:t>Popularizacija znanosti i umjetnosti</w:t>
            </w:r>
          </w:p>
        </w:tc>
        <w:tc>
          <w:tcPr>
            <w:tcW w:w="1275" w:type="dxa"/>
            <w:vAlign w:val="center"/>
          </w:tcPr>
          <w:p w:rsidR="00112899" w:rsidRPr="009520AC" w:rsidRDefault="00112899" w:rsidP="00112899">
            <w:pPr>
              <w:jc w:val="center"/>
              <w:rPr>
                <w:i/>
                <w:sz w:val="20"/>
              </w:rPr>
            </w:pPr>
            <w:r>
              <w:rPr>
                <w:i/>
                <w:sz w:val="20"/>
              </w:rPr>
              <w:t>Broj aktivnosti</w:t>
            </w:r>
          </w:p>
        </w:tc>
        <w:tc>
          <w:tcPr>
            <w:tcW w:w="998" w:type="dxa"/>
            <w:vAlign w:val="center"/>
          </w:tcPr>
          <w:p w:rsidR="00112899" w:rsidRPr="009520AC" w:rsidRDefault="00112899" w:rsidP="00112899">
            <w:pPr>
              <w:jc w:val="center"/>
              <w:rPr>
                <w:i/>
                <w:sz w:val="20"/>
              </w:rPr>
            </w:pPr>
            <w:r>
              <w:rPr>
                <w:i/>
                <w:sz w:val="20"/>
              </w:rPr>
              <w:t>42</w:t>
            </w:r>
          </w:p>
        </w:tc>
        <w:tc>
          <w:tcPr>
            <w:tcW w:w="1134" w:type="dxa"/>
            <w:vAlign w:val="center"/>
          </w:tcPr>
          <w:p w:rsidR="00112899" w:rsidRPr="001F5812" w:rsidRDefault="00112899" w:rsidP="00112899">
            <w:pPr>
              <w:jc w:val="center"/>
              <w:rPr>
                <w:i/>
                <w:sz w:val="20"/>
              </w:rPr>
            </w:pPr>
            <w:r w:rsidRPr="001F5812">
              <w:rPr>
                <w:i/>
                <w:sz w:val="20"/>
              </w:rPr>
              <w:t>Sveučilište</w:t>
            </w:r>
          </w:p>
        </w:tc>
        <w:tc>
          <w:tcPr>
            <w:tcW w:w="851" w:type="dxa"/>
            <w:vAlign w:val="center"/>
          </w:tcPr>
          <w:p w:rsidR="00112899" w:rsidRPr="009520AC" w:rsidRDefault="00112899" w:rsidP="00112899">
            <w:pPr>
              <w:jc w:val="center"/>
              <w:rPr>
                <w:i/>
                <w:sz w:val="20"/>
              </w:rPr>
            </w:pPr>
            <w:r>
              <w:rPr>
                <w:i/>
                <w:sz w:val="20"/>
              </w:rPr>
              <w:t>45</w:t>
            </w:r>
          </w:p>
        </w:tc>
        <w:tc>
          <w:tcPr>
            <w:tcW w:w="850" w:type="dxa"/>
            <w:vAlign w:val="center"/>
          </w:tcPr>
          <w:p w:rsidR="00112899" w:rsidRPr="009520AC" w:rsidRDefault="00112899" w:rsidP="00112899">
            <w:pPr>
              <w:jc w:val="center"/>
              <w:rPr>
                <w:i/>
                <w:sz w:val="20"/>
              </w:rPr>
            </w:pPr>
            <w:r>
              <w:rPr>
                <w:i/>
                <w:sz w:val="20"/>
              </w:rPr>
              <w:t>46</w:t>
            </w:r>
          </w:p>
        </w:tc>
        <w:tc>
          <w:tcPr>
            <w:tcW w:w="851" w:type="dxa"/>
            <w:vAlign w:val="center"/>
          </w:tcPr>
          <w:p w:rsidR="00112899" w:rsidRPr="009520AC" w:rsidRDefault="00112899" w:rsidP="00112899">
            <w:pPr>
              <w:jc w:val="center"/>
              <w:rPr>
                <w:i/>
                <w:sz w:val="20"/>
              </w:rPr>
            </w:pPr>
            <w:r>
              <w:rPr>
                <w:i/>
                <w:sz w:val="20"/>
              </w:rPr>
              <w:t>49</w:t>
            </w:r>
          </w:p>
        </w:tc>
      </w:tr>
    </w:tbl>
    <w:p w:rsidR="00531451" w:rsidRDefault="00531451" w:rsidP="00531451">
      <w:pPr>
        <w:jc w:val="both"/>
        <w:rPr>
          <w:i/>
          <w:highlight w:val="cyan"/>
        </w:rPr>
      </w:pPr>
    </w:p>
    <w:p w:rsidR="00AF0937" w:rsidRDefault="00AF0937" w:rsidP="00531451">
      <w:pPr>
        <w:jc w:val="both"/>
        <w:rPr>
          <w:i/>
          <w:highlight w:val="cyan"/>
        </w:rPr>
      </w:pPr>
    </w:p>
    <w:p w:rsidR="000B159F" w:rsidRDefault="000B159F" w:rsidP="00531451">
      <w:pPr>
        <w:jc w:val="both"/>
        <w:rPr>
          <w:i/>
          <w:highlight w:val="cyan"/>
        </w:rPr>
      </w:pPr>
    </w:p>
    <w:p w:rsidR="000B159F" w:rsidRPr="00AF0937" w:rsidRDefault="000B159F" w:rsidP="000B159F">
      <w:pPr>
        <w:pBdr>
          <w:top w:val="dotted" w:sz="4" w:space="1" w:color="808080" w:themeColor="background1" w:themeShade="80"/>
          <w:bottom w:val="dotted" w:sz="4" w:space="1" w:color="808080" w:themeColor="background1" w:themeShade="80"/>
        </w:pBdr>
        <w:shd w:val="clear" w:color="auto" w:fill="D0CECE" w:themeFill="background2" w:themeFillShade="E6"/>
        <w:jc w:val="both"/>
        <w:rPr>
          <w:i/>
          <w:sz w:val="28"/>
          <w:szCs w:val="28"/>
        </w:rPr>
      </w:pPr>
      <w:r w:rsidRPr="00AF0937">
        <w:rPr>
          <w:sz w:val="28"/>
          <w:szCs w:val="28"/>
        </w:rPr>
        <w:t xml:space="preserve">A679136 </w:t>
      </w:r>
      <w:r w:rsidR="001B463C">
        <w:rPr>
          <w:sz w:val="28"/>
          <w:szCs w:val="28"/>
        </w:rPr>
        <w:t>-</w:t>
      </w:r>
      <w:r w:rsidRPr="00AF0937">
        <w:rPr>
          <w:sz w:val="28"/>
          <w:szCs w:val="28"/>
        </w:rPr>
        <w:t xml:space="preserve"> RAZVOJ SUSTAVA PROGRAMSKIH SPORAZUMA ZA FINANCIRANJE SVEUČILIŠTA I ZNANSTVENIH INSTITUTA USMJERENIH NA INOVACIJE, ISTRAŽIVANJE I RAZVOJ - NPOO (C3.2. R1-I1 )</w:t>
      </w:r>
    </w:p>
    <w:p w:rsidR="00AF0937" w:rsidRDefault="00AF0937" w:rsidP="000B159F">
      <w:pPr>
        <w:jc w:val="both"/>
        <w:rPr>
          <w:i/>
        </w:rPr>
      </w:pPr>
    </w:p>
    <w:p w:rsidR="000B159F" w:rsidRPr="00B77F75" w:rsidRDefault="000B159F" w:rsidP="000B159F">
      <w:pPr>
        <w:jc w:val="both"/>
        <w:rPr>
          <w:i/>
        </w:rPr>
      </w:pPr>
      <w:r w:rsidRPr="00B77F75">
        <w:rPr>
          <w:i/>
        </w:rPr>
        <w:t>Zakonske i druge pravne osnove</w:t>
      </w:r>
    </w:p>
    <w:p w:rsidR="000B159F" w:rsidRDefault="000B159F" w:rsidP="000B159F">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visokom obrazovanju i znanstvenoj djelatnosti (NN 119/22)</w:t>
      </w:r>
    </w:p>
    <w:p w:rsidR="000B159F" w:rsidRPr="00DD1ECF" w:rsidRDefault="000B159F" w:rsidP="000B159F">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osiguravanju kvalitete u visokom obrazovanju i znanosti (NN 151/22)</w:t>
      </w:r>
    </w:p>
    <w:p w:rsidR="000B159F" w:rsidRDefault="000B159F" w:rsidP="000B159F">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w:t>
      </w:r>
      <w:r>
        <w:rPr>
          <w:rFonts w:ascii="Times New Roman" w:eastAsia="Times New Roman" w:hAnsi="Times New Roman" w:cs="Times New Roman"/>
          <w:sz w:val="24"/>
          <w:szCs w:val="24"/>
          <w:lang w:eastAsia="en-GB"/>
        </w:rPr>
        <w:t xml:space="preserve"> </w:t>
      </w:r>
      <w:r w:rsidRPr="00DD1ECF">
        <w:rPr>
          <w:rFonts w:ascii="Times New Roman" w:eastAsia="Times New Roman" w:hAnsi="Times New Roman" w:cs="Times New Roman"/>
          <w:sz w:val="24"/>
          <w:szCs w:val="24"/>
          <w:lang w:eastAsia="en-GB"/>
        </w:rPr>
        <w:t>Hrvatskom kvalifikacijskom okviru</w:t>
      </w:r>
      <w:r>
        <w:rPr>
          <w:rFonts w:ascii="Times New Roman" w:eastAsia="Times New Roman" w:hAnsi="Times New Roman" w:cs="Times New Roman"/>
          <w:sz w:val="24"/>
          <w:szCs w:val="24"/>
          <w:lang w:eastAsia="en-GB"/>
        </w:rPr>
        <w:t xml:space="preserve"> (NN22/13, 64/18 i 20/21)</w:t>
      </w:r>
    </w:p>
    <w:p w:rsidR="000B159F" w:rsidRPr="00753F41" w:rsidRDefault="000B159F" w:rsidP="000B159F">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Nacionalni plan razvoja sustava obrazovanja za razdoblje do 2027. godine</w:t>
      </w:r>
    </w:p>
    <w:p w:rsidR="000B159F" w:rsidRPr="00753F41" w:rsidRDefault="000B159F" w:rsidP="000B159F">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Plan razvoja obrazovanja Istarske županije do 2030.godine</w:t>
      </w:r>
    </w:p>
    <w:p w:rsidR="000B159F" w:rsidRPr="00753F41" w:rsidRDefault="000B159F" w:rsidP="000B159F">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Strategija razvoja urbanog područja Pula 2021-2027.</w:t>
      </w:r>
    </w:p>
    <w:p w:rsidR="000B159F" w:rsidRPr="00753F41" w:rsidRDefault="000B159F" w:rsidP="000B159F">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Zakon o studentskom zboru i drugim studentskim organizacijama </w:t>
      </w:r>
      <w:r w:rsidRPr="00753F41">
        <w:t>NN 71/07</w:t>
      </w:r>
    </w:p>
    <w:p w:rsidR="000B159F" w:rsidRDefault="000B159F" w:rsidP="000B159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Zakon o plaćama u državnoj službi i javnim službama NN 155/23</w:t>
      </w:r>
    </w:p>
    <w:p w:rsidR="000B159F" w:rsidRPr="00753F41" w:rsidRDefault="000B159F" w:rsidP="000B159F">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 xml:space="preserve">Uredba o nazivima radnih mjesta i koeficijentima složenosti poslova u javnim službama od 22.02.2024 </w:t>
      </w:r>
    </w:p>
    <w:p w:rsidR="000B159F" w:rsidRDefault="000B159F" w:rsidP="000B159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Kolektivni ugovor za znanost i visoko obrazovanje od 27.12.2018, i dodatak I od 26.03.2020.</w:t>
      </w:r>
    </w:p>
    <w:p w:rsidR="000B159F" w:rsidRDefault="000B159F" w:rsidP="000B159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Temeljni kolektivni ugovor za zaposlenike u javnim službama od 01.03.2024.</w:t>
      </w:r>
    </w:p>
    <w:p w:rsidR="000B159F" w:rsidRDefault="000B159F" w:rsidP="000B159F">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Uredba o programskom financiranju javnih visokih učilišta i javnih znanstvenih instituta u Republici Hrvatskoj</w:t>
      </w:r>
      <w:r w:rsidRPr="00201A55">
        <w:rPr>
          <w:rFonts w:ascii="Times New Roman" w:eastAsia="Times New Roman" w:hAnsi="Times New Roman" w:cs="Times New Roman"/>
          <w:sz w:val="24"/>
          <w:szCs w:val="24"/>
          <w:lang w:eastAsia="en-GB"/>
        </w:rPr>
        <w:t xml:space="preserve">  NN 78/2023</w:t>
      </w:r>
    </w:p>
    <w:p w:rsidR="000B159F" w:rsidRPr="00A6677E" w:rsidRDefault="000B159F" w:rsidP="000B159F">
      <w:pPr>
        <w:pStyle w:val="ListParagraph"/>
        <w:numPr>
          <w:ilvl w:val="0"/>
          <w:numId w:val="8"/>
        </w:numPr>
        <w:jc w:val="both"/>
        <w:rPr>
          <w:iCs/>
          <w:lang w:bidi="ta-IN"/>
        </w:rPr>
      </w:pPr>
      <w:r w:rsidRPr="00A6677E">
        <w:rPr>
          <w:rFonts w:ascii="Times New Roman" w:eastAsia="Times New Roman" w:hAnsi="Times New Roman" w:cs="Times New Roman"/>
          <w:sz w:val="24"/>
          <w:szCs w:val="24"/>
          <w:lang w:eastAsia="en-GB"/>
        </w:rPr>
        <w:t xml:space="preserve">Strategija razvoja karijera za istraživače Sveučilišta Jurja Dobrile u Puli (2024.-2028.) </w:t>
      </w:r>
    </w:p>
    <w:p w:rsidR="000B159F" w:rsidRDefault="000B159F" w:rsidP="000B159F">
      <w:pPr>
        <w:pStyle w:val="ListParagraph"/>
        <w:numPr>
          <w:ilvl w:val="0"/>
          <w:numId w:val="8"/>
        </w:numPr>
        <w:jc w:val="both"/>
        <w:rPr>
          <w:iCs/>
          <w:lang w:bidi="ta-IN"/>
        </w:rPr>
      </w:pPr>
      <w:r w:rsidRPr="00A6677E">
        <w:rPr>
          <w:iCs/>
          <w:lang w:bidi="ta-IN"/>
        </w:rPr>
        <w:t>Istraživačka umjetnička strategija Sveučilišta Jurja Dobrile u Puli (2022.-2026.)</w:t>
      </w:r>
    </w:p>
    <w:p w:rsidR="000B159F" w:rsidRDefault="000B159F" w:rsidP="000B159F">
      <w:pPr>
        <w:pStyle w:val="ListParagraph"/>
        <w:numPr>
          <w:ilvl w:val="0"/>
          <w:numId w:val="8"/>
        </w:numPr>
        <w:jc w:val="both"/>
        <w:rPr>
          <w:iCs/>
          <w:lang w:bidi="ta-IN"/>
        </w:rPr>
      </w:pPr>
      <w:r w:rsidRPr="00A6677E">
        <w:rPr>
          <w:iCs/>
          <w:lang w:bidi="ta-IN"/>
        </w:rPr>
        <w:lastRenderedPageBreak/>
        <w:t>Strategija razvoja Sveučilišta Jurja Dobrile u Puli (2021-2026)</w:t>
      </w:r>
    </w:p>
    <w:p w:rsidR="000B159F" w:rsidRDefault="000B159F" w:rsidP="000B159F">
      <w:pPr>
        <w:pStyle w:val="ListParagraph"/>
        <w:numPr>
          <w:ilvl w:val="0"/>
          <w:numId w:val="8"/>
        </w:numPr>
        <w:jc w:val="both"/>
        <w:rPr>
          <w:iCs/>
          <w:lang w:bidi="ta-IN"/>
        </w:rPr>
      </w:pPr>
      <w:r w:rsidRPr="00A6677E">
        <w:rPr>
          <w:iCs/>
          <w:lang w:bidi="ta-IN"/>
        </w:rPr>
        <w:t>Istraživačka strategija Sveučilišta Jurja Dobrile u Puli (2021.-2026.)</w:t>
      </w:r>
    </w:p>
    <w:p w:rsidR="000B159F" w:rsidRPr="00A6677E" w:rsidRDefault="000B159F" w:rsidP="000B159F">
      <w:pPr>
        <w:pStyle w:val="ListParagraph"/>
        <w:numPr>
          <w:ilvl w:val="0"/>
          <w:numId w:val="8"/>
        </w:numPr>
        <w:rPr>
          <w:iCs/>
          <w:lang w:bidi="ta-IN"/>
        </w:rPr>
      </w:pPr>
      <w:r w:rsidRPr="00A6677E">
        <w:rPr>
          <w:iCs/>
          <w:lang w:bidi="ta-IN"/>
        </w:rPr>
        <w:t xml:space="preserve">Pravilnik o Sustavu osiguravanja i unaprjeđivanja kvalitete (1.3.2013.) </w:t>
      </w:r>
    </w:p>
    <w:p w:rsidR="000B159F" w:rsidRDefault="000B159F" w:rsidP="000B159F">
      <w:pPr>
        <w:pStyle w:val="ListParagraph"/>
        <w:numPr>
          <w:ilvl w:val="0"/>
          <w:numId w:val="8"/>
        </w:numPr>
        <w:jc w:val="both"/>
        <w:rPr>
          <w:iCs/>
          <w:lang w:bidi="ta-IN"/>
        </w:rPr>
      </w:pPr>
      <w:r w:rsidRPr="00A6677E">
        <w:rPr>
          <w:iCs/>
          <w:lang w:bidi="ta-IN"/>
        </w:rPr>
        <w:t>Pravilnik o izmjenama i dopunama Pravilnika o sustavu osiguravanja kvalitete Sveučilišta Jurja Dobrile u Puli (30.11.2015</w:t>
      </w:r>
      <w:r>
        <w:rPr>
          <w:iCs/>
          <w:lang w:bidi="ta-IN"/>
        </w:rPr>
        <w:t>)</w:t>
      </w:r>
    </w:p>
    <w:p w:rsidR="000B159F" w:rsidRDefault="000B159F" w:rsidP="000B159F">
      <w:pPr>
        <w:pStyle w:val="ListParagraph"/>
        <w:numPr>
          <w:ilvl w:val="0"/>
          <w:numId w:val="8"/>
        </w:numPr>
        <w:jc w:val="both"/>
        <w:rPr>
          <w:iCs/>
          <w:lang w:bidi="ta-IN"/>
        </w:rPr>
      </w:pPr>
      <w:r w:rsidRPr="00A6677E">
        <w:rPr>
          <w:iCs/>
          <w:lang w:bidi="ta-IN"/>
        </w:rPr>
        <w:t>Pravilnik o izmjenama pravilnika o sustavu osiguravanja i unaprjeđenja kvalitete na Sveučilištu Jurja Dobrile u Puli (20.12.2024.)</w:t>
      </w:r>
    </w:p>
    <w:p w:rsidR="000B159F" w:rsidRPr="00A6677E" w:rsidRDefault="000B159F" w:rsidP="000B159F">
      <w:pPr>
        <w:pStyle w:val="ListParagraph"/>
        <w:numPr>
          <w:ilvl w:val="0"/>
          <w:numId w:val="8"/>
        </w:numPr>
        <w:jc w:val="both"/>
        <w:rPr>
          <w:iCs/>
          <w:lang w:bidi="ta-IN"/>
        </w:rPr>
      </w:pPr>
      <w:r w:rsidRPr="00A6677E">
        <w:rPr>
          <w:iCs/>
          <w:lang w:bidi="ta-IN"/>
        </w:rPr>
        <w:t>Zakon o javnoj nabavi 120/16, 114/22</w:t>
      </w:r>
    </w:p>
    <w:p w:rsidR="000B159F" w:rsidRDefault="000B159F" w:rsidP="000B159F">
      <w:pPr>
        <w:pStyle w:val="ListParagraph"/>
        <w:numPr>
          <w:ilvl w:val="0"/>
          <w:numId w:val="8"/>
        </w:numPr>
        <w:jc w:val="both"/>
        <w:rPr>
          <w:iCs/>
          <w:lang w:bidi="ta-IN"/>
        </w:rPr>
      </w:pPr>
      <w:r w:rsidRPr="00A6677E">
        <w:rPr>
          <w:iCs/>
          <w:lang w:bidi="ta-IN"/>
        </w:rPr>
        <w:t xml:space="preserve">Pravilnik za provedbu postupaka jednostavne nabave 24.01.2023. [322,08 </w:t>
      </w:r>
      <w:proofErr w:type="spellStart"/>
      <w:r w:rsidRPr="00A6677E">
        <w:rPr>
          <w:iCs/>
          <w:lang w:bidi="ta-IN"/>
        </w:rPr>
        <w:t>KiB</w:t>
      </w:r>
      <w:proofErr w:type="spellEnd"/>
      <w:r w:rsidRPr="00A6677E">
        <w:rPr>
          <w:iCs/>
          <w:lang w:bidi="ta-IN"/>
        </w:rPr>
        <w:t>]</w:t>
      </w:r>
    </w:p>
    <w:p w:rsidR="000B159F" w:rsidRDefault="000B159F" w:rsidP="000B159F">
      <w:pPr>
        <w:pStyle w:val="ListParagraph"/>
        <w:numPr>
          <w:ilvl w:val="0"/>
          <w:numId w:val="8"/>
        </w:numPr>
      </w:pPr>
      <w:r>
        <w:t>Nacionalni plan oporavka i otpornosti 2021-2026. NN 78/21</w:t>
      </w:r>
    </w:p>
    <w:p w:rsidR="000B159F" w:rsidRPr="00B77F75" w:rsidRDefault="000B159F" w:rsidP="000B159F">
      <w:pPr>
        <w:jc w:val="both"/>
        <w:rPr>
          <w:iCs/>
          <w:rtl/>
          <w:cs/>
          <w:lang w:bidi="ta-IN"/>
        </w:rPr>
      </w:pPr>
    </w:p>
    <w:tbl>
      <w:tblPr>
        <w:tblStyle w:val="TableGrid"/>
        <w:tblW w:w="0" w:type="auto"/>
        <w:tblLook w:val="04A0" w:firstRow="1" w:lastRow="0" w:firstColumn="1" w:lastColumn="0" w:noHBand="0" w:noVBand="1"/>
      </w:tblPr>
      <w:tblGrid>
        <w:gridCol w:w="1673"/>
        <w:gridCol w:w="1245"/>
        <w:gridCol w:w="1236"/>
        <w:gridCol w:w="1242"/>
        <w:gridCol w:w="1268"/>
        <w:gridCol w:w="1268"/>
        <w:gridCol w:w="1130"/>
      </w:tblGrid>
      <w:tr w:rsidR="00082A70" w:rsidRPr="00B77F75" w:rsidTr="002525DA">
        <w:tc>
          <w:tcPr>
            <w:tcW w:w="1632" w:type="dxa"/>
            <w:shd w:val="clear" w:color="auto" w:fill="D0CECE" w:themeFill="background2" w:themeFillShade="E6"/>
          </w:tcPr>
          <w:p w:rsidR="000B159F" w:rsidRPr="00B77F75" w:rsidRDefault="000B159F" w:rsidP="002525DA">
            <w:pPr>
              <w:jc w:val="both"/>
            </w:pPr>
          </w:p>
          <w:p w:rsidR="000B159F" w:rsidRPr="00B77F75" w:rsidRDefault="000B159F" w:rsidP="002525DA">
            <w:pPr>
              <w:jc w:val="both"/>
            </w:pPr>
          </w:p>
        </w:tc>
        <w:tc>
          <w:tcPr>
            <w:tcW w:w="1248" w:type="dxa"/>
            <w:shd w:val="clear" w:color="auto" w:fill="D0CECE" w:themeFill="background2" w:themeFillShade="E6"/>
            <w:vAlign w:val="center"/>
          </w:tcPr>
          <w:p w:rsidR="000B159F" w:rsidRPr="00B77F75" w:rsidRDefault="000B159F" w:rsidP="002525DA">
            <w:pPr>
              <w:jc w:val="center"/>
            </w:pPr>
            <w:r w:rsidRPr="00B77F75">
              <w:t>Izvršenje 202</w:t>
            </w:r>
            <w:r>
              <w:t>4</w:t>
            </w:r>
            <w:r w:rsidRPr="00B77F75">
              <w:t>.</w:t>
            </w:r>
          </w:p>
        </w:tc>
        <w:tc>
          <w:tcPr>
            <w:tcW w:w="1248" w:type="dxa"/>
            <w:shd w:val="clear" w:color="auto" w:fill="D0CECE" w:themeFill="background2" w:themeFillShade="E6"/>
            <w:vAlign w:val="center"/>
          </w:tcPr>
          <w:p w:rsidR="000B159F" w:rsidRPr="00B77F75" w:rsidRDefault="000B159F" w:rsidP="002525DA">
            <w:pPr>
              <w:jc w:val="center"/>
            </w:pPr>
            <w:r w:rsidRPr="00B77F75">
              <w:t>Plan 202</w:t>
            </w:r>
            <w:r>
              <w:t>5</w:t>
            </w:r>
            <w:r w:rsidRPr="00B77F75">
              <w:t>.</w:t>
            </w:r>
          </w:p>
        </w:tc>
        <w:tc>
          <w:tcPr>
            <w:tcW w:w="1248" w:type="dxa"/>
            <w:shd w:val="clear" w:color="auto" w:fill="D0CECE" w:themeFill="background2" w:themeFillShade="E6"/>
            <w:vAlign w:val="center"/>
          </w:tcPr>
          <w:p w:rsidR="000B159F" w:rsidRPr="00B77F75" w:rsidRDefault="000B159F" w:rsidP="002525DA">
            <w:pPr>
              <w:jc w:val="center"/>
            </w:pPr>
            <w:r w:rsidRPr="00B77F75">
              <w:t>Plan 202</w:t>
            </w:r>
            <w:r>
              <w:t>6</w:t>
            </w:r>
            <w:r w:rsidRPr="00B77F75">
              <w:t>.</w:t>
            </w:r>
          </w:p>
        </w:tc>
        <w:tc>
          <w:tcPr>
            <w:tcW w:w="1275" w:type="dxa"/>
            <w:shd w:val="clear" w:color="auto" w:fill="D0CECE" w:themeFill="background2" w:themeFillShade="E6"/>
            <w:vAlign w:val="center"/>
          </w:tcPr>
          <w:p w:rsidR="000B159F" w:rsidRPr="00B77F75" w:rsidRDefault="000B159F" w:rsidP="002525DA">
            <w:pPr>
              <w:jc w:val="center"/>
            </w:pPr>
            <w:r w:rsidRPr="00B77F75">
              <w:t>Plan 202</w:t>
            </w:r>
            <w:r>
              <w:t>7</w:t>
            </w:r>
            <w:r w:rsidRPr="00B77F75">
              <w:t>.</w:t>
            </w:r>
          </w:p>
        </w:tc>
        <w:tc>
          <w:tcPr>
            <w:tcW w:w="1275" w:type="dxa"/>
            <w:shd w:val="clear" w:color="auto" w:fill="D0CECE" w:themeFill="background2" w:themeFillShade="E6"/>
            <w:vAlign w:val="center"/>
          </w:tcPr>
          <w:p w:rsidR="000B159F" w:rsidRPr="00B77F75" w:rsidRDefault="000B159F" w:rsidP="002525DA">
            <w:pPr>
              <w:jc w:val="center"/>
            </w:pPr>
            <w:r w:rsidRPr="00B77F75">
              <w:t>Plan 202</w:t>
            </w:r>
            <w:r>
              <w:t>8</w:t>
            </w:r>
            <w:r w:rsidRPr="00B77F75">
              <w:t>.</w:t>
            </w:r>
          </w:p>
        </w:tc>
        <w:tc>
          <w:tcPr>
            <w:tcW w:w="1136" w:type="dxa"/>
            <w:shd w:val="clear" w:color="auto" w:fill="D0CECE" w:themeFill="background2" w:themeFillShade="E6"/>
            <w:vAlign w:val="center"/>
          </w:tcPr>
          <w:p w:rsidR="000B159F" w:rsidRPr="00B77F75" w:rsidRDefault="000B159F" w:rsidP="002525DA">
            <w:pPr>
              <w:jc w:val="center"/>
            </w:pPr>
            <w:r w:rsidRPr="00B77F75">
              <w:t>Indeks 2</w:t>
            </w:r>
            <w:r>
              <w:t>6</w:t>
            </w:r>
            <w:r w:rsidRPr="00B77F75">
              <w:t>./2</w:t>
            </w:r>
            <w:r>
              <w:t>5</w:t>
            </w:r>
            <w:r w:rsidRPr="00B77F75">
              <w:t>.</w:t>
            </w:r>
          </w:p>
        </w:tc>
      </w:tr>
      <w:tr w:rsidR="00082A70" w:rsidRPr="00B77F75" w:rsidTr="002525DA">
        <w:tc>
          <w:tcPr>
            <w:tcW w:w="1632" w:type="dxa"/>
          </w:tcPr>
          <w:p w:rsidR="000B159F" w:rsidRPr="000B159F" w:rsidRDefault="000B159F" w:rsidP="002525DA">
            <w:r w:rsidRPr="00023380">
              <w:t xml:space="preserve">Šifra aktivnosti/ </w:t>
            </w:r>
            <w:r w:rsidRPr="000B159F">
              <w:t>programa</w:t>
            </w:r>
          </w:p>
          <w:p w:rsidR="000B159F" w:rsidRDefault="000B159F" w:rsidP="000B159F">
            <w:pPr>
              <w:pBdr>
                <w:top w:val="dotted" w:sz="4" w:space="1" w:color="808080" w:themeColor="background1" w:themeShade="80"/>
                <w:bottom w:val="dotted" w:sz="4" w:space="1" w:color="808080" w:themeColor="background1" w:themeShade="80"/>
              </w:pBdr>
              <w:shd w:val="clear" w:color="auto" w:fill="D0CECE" w:themeFill="background2" w:themeFillShade="E6"/>
              <w:jc w:val="both"/>
            </w:pPr>
            <w:r w:rsidRPr="000B159F">
              <w:t>A679136</w:t>
            </w:r>
          </w:p>
          <w:p w:rsidR="000B159F" w:rsidRPr="00023380" w:rsidRDefault="000B159F" w:rsidP="000B159F">
            <w:pPr>
              <w:pBdr>
                <w:top w:val="dotted" w:sz="4" w:space="1" w:color="808080" w:themeColor="background1" w:themeShade="80"/>
                <w:bottom w:val="dotted" w:sz="4" w:space="1" w:color="808080" w:themeColor="background1" w:themeShade="80"/>
              </w:pBdr>
              <w:shd w:val="clear" w:color="auto" w:fill="D0CECE" w:themeFill="background2" w:themeFillShade="E6"/>
              <w:jc w:val="both"/>
            </w:pPr>
            <w:r w:rsidRPr="000B159F">
              <w:rPr>
                <w:sz w:val="20"/>
                <w:szCs w:val="20"/>
              </w:rPr>
              <w:t>RAZVOJ SUSTAVA PROGRAMSKIH SPORAZUMA ZA FINANCIRANJE SVEUČILIŠTA I ZNANSTVENIH INSTITUTA USMJERENIH NA INOVACIJE, ISTRAŽIVANJE I RAZVOJ - NPOO (C3.2. R1-I1 )</w:t>
            </w:r>
          </w:p>
        </w:tc>
        <w:tc>
          <w:tcPr>
            <w:tcW w:w="1248" w:type="dxa"/>
            <w:shd w:val="clear" w:color="auto" w:fill="auto"/>
          </w:tcPr>
          <w:p w:rsidR="000B159F" w:rsidRDefault="000B159F" w:rsidP="002525DA">
            <w:pPr>
              <w:jc w:val="both"/>
            </w:pPr>
            <w:r>
              <w:t>-</w:t>
            </w:r>
          </w:p>
          <w:p w:rsidR="000B159F" w:rsidRPr="00B77F75" w:rsidRDefault="000B159F" w:rsidP="002525DA">
            <w:pPr>
              <w:jc w:val="both"/>
            </w:pPr>
            <w:r>
              <w:t>EUR</w:t>
            </w:r>
          </w:p>
        </w:tc>
        <w:tc>
          <w:tcPr>
            <w:tcW w:w="1248" w:type="dxa"/>
          </w:tcPr>
          <w:p w:rsidR="000B159F" w:rsidRDefault="000B159F" w:rsidP="002525DA">
            <w:pPr>
              <w:jc w:val="both"/>
            </w:pPr>
            <w:r>
              <w:t>-</w:t>
            </w:r>
          </w:p>
          <w:p w:rsidR="000B159F" w:rsidRPr="00B77F75" w:rsidRDefault="000B159F" w:rsidP="002525DA">
            <w:pPr>
              <w:jc w:val="both"/>
              <w:rPr>
                <w:lang w:val="en-US"/>
              </w:rPr>
            </w:pPr>
            <w:r w:rsidRPr="00B77F75">
              <w:t xml:space="preserve"> EUR</w:t>
            </w:r>
          </w:p>
        </w:tc>
        <w:tc>
          <w:tcPr>
            <w:tcW w:w="1248" w:type="dxa"/>
          </w:tcPr>
          <w:p w:rsidR="000B159F" w:rsidRPr="00F2219E" w:rsidRDefault="00082A70" w:rsidP="002525DA">
            <w:pPr>
              <w:jc w:val="both"/>
            </w:pPr>
            <w:r w:rsidRPr="00F2219E">
              <w:t>479.073</w:t>
            </w:r>
            <w:r w:rsidR="000B159F" w:rsidRPr="00F2219E">
              <w:t xml:space="preserve"> EUR</w:t>
            </w:r>
          </w:p>
        </w:tc>
        <w:tc>
          <w:tcPr>
            <w:tcW w:w="1275" w:type="dxa"/>
          </w:tcPr>
          <w:p w:rsidR="000B159F" w:rsidRPr="00F2219E" w:rsidRDefault="00082A70" w:rsidP="002525DA">
            <w:pPr>
              <w:jc w:val="both"/>
            </w:pPr>
            <w:r w:rsidRPr="00F2219E">
              <w:t xml:space="preserve">479.073 </w:t>
            </w:r>
            <w:r w:rsidR="000B159F" w:rsidRPr="00F2219E">
              <w:t>EUR</w:t>
            </w:r>
          </w:p>
        </w:tc>
        <w:tc>
          <w:tcPr>
            <w:tcW w:w="1275" w:type="dxa"/>
          </w:tcPr>
          <w:p w:rsidR="000B159F" w:rsidRPr="00F2219E" w:rsidRDefault="00082A70" w:rsidP="002525DA">
            <w:pPr>
              <w:jc w:val="both"/>
            </w:pPr>
            <w:r w:rsidRPr="00F2219E">
              <w:t>479.074 EUR</w:t>
            </w:r>
          </w:p>
        </w:tc>
        <w:tc>
          <w:tcPr>
            <w:tcW w:w="1136" w:type="dxa"/>
          </w:tcPr>
          <w:p w:rsidR="000B159F" w:rsidRPr="00F2219E" w:rsidRDefault="00082A70" w:rsidP="002525DA">
            <w:pPr>
              <w:jc w:val="both"/>
              <w:rPr>
                <w:lang w:val="en-US"/>
              </w:rPr>
            </w:pPr>
            <w:r w:rsidRPr="00F2219E">
              <w:t>-</w:t>
            </w:r>
          </w:p>
        </w:tc>
      </w:tr>
    </w:tbl>
    <w:p w:rsidR="00C51C46" w:rsidRPr="00B77F75" w:rsidRDefault="00C51C46" w:rsidP="00C51C46">
      <w:pPr>
        <w:jc w:val="both"/>
      </w:pPr>
    </w:p>
    <w:p w:rsidR="00C51C46" w:rsidRDefault="00C51C46" w:rsidP="00C51C46">
      <w:pPr>
        <w:jc w:val="both"/>
      </w:pPr>
    </w:p>
    <w:p w:rsidR="00082A70" w:rsidRPr="00AB7E04" w:rsidRDefault="00082A70" w:rsidP="00082A70">
      <w:pPr>
        <w:spacing w:before="240"/>
        <w:jc w:val="both"/>
        <w:rPr>
          <w:i/>
        </w:rPr>
      </w:pPr>
      <w:r w:rsidRPr="00AB7E04">
        <w:rPr>
          <w:i/>
        </w:rPr>
        <w:t>Ova aktivnost/ projekt sastoji se od 30 NPOO projekata:</w:t>
      </w:r>
    </w:p>
    <w:p w:rsidR="00AB7E04" w:rsidRPr="00AB7E04" w:rsidRDefault="00082A70"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 </w:t>
      </w:r>
      <w:r w:rsidR="00AB7E04" w:rsidRPr="00AB7E04">
        <w:rPr>
          <w:rFonts w:ascii="Times New Roman" w:hAnsi="Times New Roman" w:cs="Times New Roman"/>
          <w:i/>
        </w:rPr>
        <w:t>Izazovi odlučivanja u digitalno doba (</w:t>
      </w:r>
      <w:proofErr w:type="spellStart"/>
      <w:r w:rsidR="00AB7E04" w:rsidRPr="00AB7E04">
        <w:rPr>
          <w:rFonts w:ascii="Times New Roman" w:hAnsi="Times New Roman" w:cs="Times New Roman"/>
          <w:i/>
        </w:rPr>
        <w:t>Challenges</w:t>
      </w:r>
      <w:proofErr w:type="spellEnd"/>
      <w:r w:rsidR="00AB7E04" w:rsidRPr="00AB7E04">
        <w:rPr>
          <w:rFonts w:ascii="Times New Roman" w:hAnsi="Times New Roman" w:cs="Times New Roman"/>
          <w:i/>
        </w:rPr>
        <w:t xml:space="preserve"> </w:t>
      </w:r>
      <w:proofErr w:type="spellStart"/>
      <w:r w:rsidR="00AB7E04" w:rsidRPr="00AB7E04">
        <w:rPr>
          <w:rFonts w:ascii="Times New Roman" w:hAnsi="Times New Roman" w:cs="Times New Roman"/>
          <w:i/>
        </w:rPr>
        <w:t>of</w:t>
      </w:r>
      <w:proofErr w:type="spellEnd"/>
      <w:r w:rsidR="00AB7E04" w:rsidRPr="00AB7E04">
        <w:rPr>
          <w:rFonts w:ascii="Times New Roman" w:hAnsi="Times New Roman" w:cs="Times New Roman"/>
          <w:i/>
        </w:rPr>
        <w:t xml:space="preserve"> </w:t>
      </w:r>
      <w:proofErr w:type="spellStart"/>
      <w:r w:rsidR="00AB7E04" w:rsidRPr="00AB7E04">
        <w:rPr>
          <w:rFonts w:ascii="Times New Roman" w:hAnsi="Times New Roman" w:cs="Times New Roman"/>
          <w:i/>
        </w:rPr>
        <w:t>Decision-making</w:t>
      </w:r>
      <w:proofErr w:type="spellEnd"/>
      <w:r w:rsidR="00AB7E04" w:rsidRPr="00AB7E04">
        <w:rPr>
          <w:rFonts w:ascii="Times New Roman" w:hAnsi="Times New Roman" w:cs="Times New Roman"/>
          <w:i/>
        </w:rPr>
        <w:t xml:space="preserve"> </w:t>
      </w:r>
      <w:proofErr w:type="spellStart"/>
      <w:r w:rsidR="00AB7E04" w:rsidRPr="00AB7E04">
        <w:rPr>
          <w:rFonts w:ascii="Times New Roman" w:hAnsi="Times New Roman" w:cs="Times New Roman"/>
          <w:i/>
        </w:rPr>
        <w:t>in</w:t>
      </w:r>
      <w:proofErr w:type="spellEnd"/>
      <w:r w:rsidR="00AB7E04" w:rsidRPr="00AB7E04">
        <w:rPr>
          <w:rFonts w:ascii="Times New Roman" w:hAnsi="Times New Roman" w:cs="Times New Roman"/>
          <w:i/>
        </w:rPr>
        <w:t xml:space="preserve"> </w:t>
      </w:r>
      <w:proofErr w:type="spellStart"/>
      <w:r w:rsidR="00AB7E04" w:rsidRPr="00AB7E04">
        <w:rPr>
          <w:rFonts w:ascii="Times New Roman" w:hAnsi="Times New Roman" w:cs="Times New Roman"/>
          <w:i/>
        </w:rPr>
        <w:t>the</w:t>
      </w:r>
      <w:proofErr w:type="spellEnd"/>
      <w:r w:rsidR="00AB7E04" w:rsidRPr="00AB7E04">
        <w:rPr>
          <w:rFonts w:ascii="Times New Roman" w:hAnsi="Times New Roman" w:cs="Times New Roman"/>
          <w:i/>
        </w:rPr>
        <w:t xml:space="preserve"> Digital Age) - </w:t>
      </w:r>
      <w:proofErr w:type="spellStart"/>
      <w:r w:rsidR="00AB7E04" w:rsidRPr="00AB7E04">
        <w:rPr>
          <w:rFonts w:ascii="Times New Roman" w:hAnsi="Times New Roman" w:cs="Times New Roman"/>
          <w:i/>
        </w:rPr>
        <w:t>CoDiDA</w:t>
      </w:r>
      <w:proofErr w:type="spellEnd"/>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ARHEOLOŠKI KRAJOLIK ZAPADNE ISTRE IZMEĐU 2. STOLJEĆA PR. KR. I 1. STOLJEĆA POSLIJE KR. (</w:t>
      </w:r>
      <w:proofErr w:type="spellStart"/>
      <w:r w:rsidRPr="00AB7E04">
        <w:rPr>
          <w:rFonts w:ascii="Times New Roman" w:hAnsi="Times New Roman" w:cs="Times New Roman"/>
          <w:i/>
        </w:rPr>
        <w:t>ArheoIstra</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Hrvatski naglasci na mreži (HNM)</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Primjena generativne umjetne inteligencije u modeliranju i izvođenju raspodijeljenih informacijskih sustava i procesa (GENESIS)</w:t>
      </w:r>
    </w:p>
    <w:p w:rsidR="00AB7E04" w:rsidRPr="00AB7E04" w:rsidRDefault="00AB7E04" w:rsidP="00AB7E04">
      <w:pPr>
        <w:pStyle w:val="ListParagraph"/>
        <w:numPr>
          <w:ilvl w:val="0"/>
          <w:numId w:val="22"/>
        </w:numPr>
        <w:jc w:val="both"/>
        <w:rPr>
          <w:rFonts w:ascii="Times New Roman" w:hAnsi="Times New Roman" w:cs="Times New Roman"/>
          <w:i/>
        </w:rPr>
      </w:pPr>
      <w:proofErr w:type="spellStart"/>
      <w:r w:rsidRPr="00AB7E04">
        <w:rPr>
          <w:rFonts w:ascii="Times New Roman" w:hAnsi="Times New Roman" w:cs="Times New Roman"/>
          <w:i/>
        </w:rPr>
        <w:t>moREzist</w:t>
      </w:r>
      <w:proofErr w:type="spellEnd"/>
      <w:r w:rsidRPr="00AB7E04">
        <w:rPr>
          <w:rFonts w:ascii="Times New Roman" w:hAnsi="Times New Roman" w:cs="Times New Roman"/>
          <w:i/>
        </w:rPr>
        <w:t>: Morski okoliš kao rezervoar antimikrobne rezistencije: uloga bolničkih i komunalnih otpadnih voda</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Od dinamičnog vokabulara do virtualne interakcije: razvoj modela učenja stranog jezika u turizmu pomoću korpusa, umjetne inteligencije i proširene stvarnosti (VIRAI)</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Istraživanje integracije </w:t>
      </w:r>
      <w:proofErr w:type="spellStart"/>
      <w:r w:rsidRPr="00AB7E04">
        <w:rPr>
          <w:rFonts w:ascii="Times New Roman" w:hAnsi="Times New Roman" w:cs="Times New Roman"/>
          <w:i/>
        </w:rPr>
        <w:t>IoT</w:t>
      </w:r>
      <w:proofErr w:type="spellEnd"/>
      <w:r w:rsidRPr="00AB7E04">
        <w:rPr>
          <w:rFonts w:ascii="Times New Roman" w:hAnsi="Times New Roman" w:cs="Times New Roman"/>
          <w:i/>
        </w:rPr>
        <w:t xml:space="preserve"> i </w:t>
      </w:r>
      <w:proofErr w:type="spellStart"/>
      <w:r w:rsidRPr="00AB7E04">
        <w:rPr>
          <w:rFonts w:ascii="Times New Roman" w:hAnsi="Times New Roman" w:cs="Times New Roman"/>
          <w:i/>
        </w:rPr>
        <w:t>GenAI</w:t>
      </w:r>
      <w:proofErr w:type="spellEnd"/>
      <w:r w:rsidRPr="00AB7E04">
        <w:rPr>
          <w:rFonts w:ascii="Times New Roman" w:hAnsi="Times New Roman" w:cs="Times New Roman"/>
          <w:i/>
        </w:rPr>
        <w:t xml:space="preserve"> tehnologija u sustavima za pametan uzgoj biljaka (TECH4GARDEN)</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Razvoj UI-podržanog modela za informiranje o financijskoj i nefinancijskoj održivosti (UI-INFINE)</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lastRenderedPageBreak/>
        <w:t>Mornarička pričajući priču o sebi - priča o Puli (</w:t>
      </w:r>
      <w:proofErr w:type="spellStart"/>
      <w:r w:rsidRPr="00AB7E04">
        <w:rPr>
          <w:rFonts w:ascii="Times New Roman" w:hAnsi="Times New Roman" w:cs="Times New Roman"/>
          <w:i/>
        </w:rPr>
        <w:t>MoRUnPu</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proofErr w:type="spellStart"/>
      <w:r w:rsidRPr="00AB7E04">
        <w:rPr>
          <w:rFonts w:ascii="Times New Roman" w:hAnsi="Times New Roman" w:cs="Times New Roman"/>
          <w:i/>
        </w:rPr>
        <w:t>Neurokognitivne</w:t>
      </w:r>
      <w:proofErr w:type="spellEnd"/>
      <w:r w:rsidRPr="00AB7E04">
        <w:rPr>
          <w:rFonts w:ascii="Times New Roman" w:hAnsi="Times New Roman" w:cs="Times New Roman"/>
          <w:i/>
        </w:rPr>
        <w:t xml:space="preserve"> sposobnosti i rani dvojezični </w:t>
      </w:r>
      <w:proofErr w:type="spellStart"/>
      <w:r w:rsidRPr="00AB7E04">
        <w:rPr>
          <w:rFonts w:ascii="Times New Roman" w:hAnsi="Times New Roman" w:cs="Times New Roman"/>
          <w:i/>
        </w:rPr>
        <w:t>razvoj:jezična</w:t>
      </w:r>
      <w:proofErr w:type="spellEnd"/>
      <w:r w:rsidRPr="00AB7E04">
        <w:rPr>
          <w:rFonts w:ascii="Times New Roman" w:hAnsi="Times New Roman" w:cs="Times New Roman"/>
          <w:i/>
        </w:rPr>
        <w:t xml:space="preserve"> izloženost i izvršne funkcije - </w:t>
      </w:r>
      <w:proofErr w:type="spellStart"/>
      <w:r w:rsidRPr="00AB7E04">
        <w:rPr>
          <w:rFonts w:ascii="Times New Roman" w:hAnsi="Times New Roman" w:cs="Times New Roman"/>
          <w:i/>
        </w:rPr>
        <w:t>NeuroLEEF</w:t>
      </w:r>
      <w:proofErr w:type="spellEnd"/>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Učinci toplinskog stresa na livade cvjetnice </w:t>
      </w:r>
      <w:proofErr w:type="spellStart"/>
      <w:r w:rsidRPr="00AB7E04">
        <w:rPr>
          <w:rFonts w:ascii="Times New Roman" w:hAnsi="Times New Roman" w:cs="Times New Roman"/>
          <w:i/>
        </w:rPr>
        <w:t>Cymodocea</w:t>
      </w:r>
      <w:proofErr w:type="spellEnd"/>
      <w:r w:rsidRPr="00AB7E04">
        <w:rPr>
          <w:rFonts w:ascii="Times New Roman" w:hAnsi="Times New Roman" w:cs="Times New Roman"/>
          <w:i/>
        </w:rPr>
        <w:t xml:space="preserve"> </w:t>
      </w:r>
      <w:proofErr w:type="spellStart"/>
      <w:r w:rsidRPr="00AB7E04">
        <w:rPr>
          <w:rFonts w:ascii="Times New Roman" w:hAnsi="Times New Roman" w:cs="Times New Roman"/>
          <w:i/>
        </w:rPr>
        <w:t>nodosa</w:t>
      </w:r>
      <w:proofErr w:type="spellEnd"/>
      <w:r w:rsidRPr="00AB7E04">
        <w:rPr>
          <w:rFonts w:ascii="Times New Roman" w:hAnsi="Times New Roman" w:cs="Times New Roman"/>
          <w:i/>
        </w:rPr>
        <w:t>: integrirana analiza biometrije biljke, prostiranja livada, dinamike mikrobne zajednice i oslobođenih površinski aktivnih tvari (CYMOT)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Primjena </w:t>
      </w:r>
      <w:proofErr w:type="spellStart"/>
      <w:r w:rsidRPr="00AB7E04">
        <w:rPr>
          <w:rFonts w:ascii="Times New Roman" w:hAnsi="Times New Roman" w:cs="Times New Roman"/>
          <w:i/>
        </w:rPr>
        <w:t>metaheurističkih</w:t>
      </w:r>
      <w:proofErr w:type="spellEnd"/>
      <w:r w:rsidRPr="00AB7E04">
        <w:rPr>
          <w:rFonts w:ascii="Times New Roman" w:hAnsi="Times New Roman" w:cs="Times New Roman"/>
          <w:i/>
        </w:rPr>
        <w:t xml:space="preserve"> optimizacija u kolaborativnim robotskim sustavima (META-KOLA-BOT)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Istarske feudalne utvrde - rezidencije srednjevjekovnog plemstva (</w:t>
      </w:r>
      <w:proofErr w:type="spellStart"/>
      <w:r w:rsidRPr="00AB7E04">
        <w:rPr>
          <w:rFonts w:ascii="Times New Roman" w:hAnsi="Times New Roman" w:cs="Times New Roman"/>
          <w:i/>
        </w:rPr>
        <w:t>caHISTRIAE</w:t>
      </w:r>
      <w:proofErr w:type="spellEnd"/>
      <w:r w:rsidRPr="00AB7E04">
        <w:rPr>
          <w:rFonts w:ascii="Times New Roman" w:hAnsi="Times New Roman" w:cs="Times New Roman"/>
          <w:i/>
        </w:rPr>
        <w:t xml:space="preserve"> - </w:t>
      </w:r>
      <w:proofErr w:type="spellStart"/>
      <w:r w:rsidRPr="00AB7E04">
        <w:rPr>
          <w:rFonts w:ascii="Times New Roman" w:hAnsi="Times New Roman" w:cs="Times New Roman"/>
          <w:i/>
        </w:rPr>
        <w:t>Castrum</w:t>
      </w:r>
      <w:proofErr w:type="spellEnd"/>
      <w:r w:rsidRPr="00AB7E04">
        <w:rPr>
          <w:rFonts w:ascii="Times New Roman" w:hAnsi="Times New Roman" w:cs="Times New Roman"/>
          <w:i/>
        </w:rPr>
        <w:t xml:space="preserve"> </w:t>
      </w:r>
      <w:proofErr w:type="spellStart"/>
      <w:r w:rsidRPr="00AB7E04">
        <w:rPr>
          <w:rFonts w:ascii="Times New Roman" w:hAnsi="Times New Roman" w:cs="Times New Roman"/>
          <w:i/>
        </w:rPr>
        <w:t>Histriae</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Metode optimizacije i umjetne inteligencije u računalno potpomognutom inženjerstvu (OPTAI-CAE)</w:t>
      </w:r>
    </w:p>
    <w:p w:rsidR="00AB7E04" w:rsidRPr="00AB7E04" w:rsidRDefault="00AB7E04" w:rsidP="00AB7E04">
      <w:pPr>
        <w:pStyle w:val="ListParagraph"/>
        <w:numPr>
          <w:ilvl w:val="0"/>
          <w:numId w:val="22"/>
        </w:numPr>
        <w:jc w:val="both"/>
        <w:rPr>
          <w:rFonts w:ascii="Times New Roman" w:hAnsi="Times New Roman" w:cs="Times New Roman"/>
          <w:i/>
        </w:rPr>
      </w:pPr>
      <w:proofErr w:type="spellStart"/>
      <w:r w:rsidRPr="00AB7E04">
        <w:rPr>
          <w:rFonts w:ascii="Times New Roman" w:hAnsi="Times New Roman" w:cs="Times New Roman"/>
          <w:i/>
        </w:rPr>
        <w:t>Neuroekonomska</w:t>
      </w:r>
      <w:proofErr w:type="spellEnd"/>
      <w:r w:rsidRPr="00AB7E04">
        <w:rPr>
          <w:rFonts w:ascii="Times New Roman" w:hAnsi="Times New Roman" w:cs="Times New Roman"/>
          <w:i/>
        </w:rPr>
        <w:t xml:space="preserve"> analiza financijskog ponašanja mladih: Uloga emocija i kognitivnih pristranosti u donošenju odluka (NAUKO)</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Skalabilni raspodijeljeni sustav za biometrijsko prepoznavanje osoba (</w:t>
      </w:r>
      <w:proofErr w:type="spellStart"/>
      <w:r w:rsidRPr="00AB7E04">
        <w:rPr>
          <w:rFonts w:ascii="Times New Roman" w:hAnsi="Times New Roman" w:cs="Times New Roman"/>
          <w:i/>
        </w:rPr>
        <w:t>BioPatchNet</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Jezična i kulturna baština Istre (JKBI)</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Razvoj modela za praćenje pažnje i umora vozača primjenom umjetne inteligencije (DMM))</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Karakterizacija mehaničkih i magnetskih svojstava </w:t>
      </w:r>
      <w:proofErr w:type="spellStart"/>
      <w:r w:rsidRPr="00AB7E04">
        <w:rPr>
          <w:rFonts w:ascii="Times New Roman" w:hAnsi="Times New Roman" w:cs="Times New Roman"/>
          <w:i/>
        </w:rPr>
        <w:t>visokoentropijskih</w:t>
      </w:r>
      <w:proofErr w:type="spellEnd"/>
      <w:r w:rsidRPr="00AB7E04">
        <w:rPr>
          <w:rFonts w:ascii="Times New Roman" w:hAnsi="Times New Roman" w:cs="Times New Roman"/>
          <w:i/>
        </w:rPr>
        <w:t xml:space="preserve"> </w:t>
      </w:r>
      <w:proofErr w:type="spellStart"/>
      <w:r w:rsidRPr="00AB7E04">
        <w:rPr>
          <w:rFonts w:ascii="Times New Roman" w:hAnsi="Times New Roman" w:cs="Times New Roman"/>
          <w:i/>
        </w:rPr>
        <w:t>FeCoNiMnTi</w:t>
      </w:r>
      <w:proofErr w:type="spellEnd"/>
      <w:r w:rsidRPr="00AB7E04">
        <w:rPr>
          <w:rFonts w:ascii="Times New Roman" w:hAnsi="Times New Roman" w:cs="Times New Roman"/>
          <w:i/>
        </w:rPr>
        <w:t xml:space="preserve"> legura (CMM-HEA)</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DNA </w:t>
      </w:r>
      <w:proofErr w:type="spellStart"/>
      <w:r w:rsidRPr="00AB7E04">
        <w:rPr>
          <w:rFonts w:ascii="Times New Roman" w:hAnsi="Times New Roman" w:cs="Times New Roman"/>
          <w:i/>
        </w:rPr>
        <w:t>barkodiranje</w:t>
      </w:r>
      <w:proofErr w:type="spellEnd"/>
      <w:r w:rsidRPr="00AB7E04">
        <w:rPr>
          <w:rFonts w:ascii="Times New Roman" w:hAnsi="Times New Roman" w:cs="Times New Roman"/>
          <w:i/>
        </w:rPr>
        <w:t xml:space="preserve"> odabranih organizama faune Jadrana (</w:t>
      </w:r>
      <w:proofErr w:type="spellStart"/>
      <w:r w:rsidRPr="00AB7E04">
        <w:rPr>
          <w:rFonts w:ascii="Times New Roman" w:hAnsi="Times New Roman" w:cs="Times New Roman"/>
          <w:i/>
        </w:rPr>
        <w:t>DNAbarcodeUniPu</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Identifikacija i optimizacija parametra obrade CNC-a primjenom strojnog učenja (MLCNC)</w:t>
      </w:r>
    </w:p>
    <w:p w:rsidR="00AB7E04" w:rsidRPr="00AB7E04" w:rsidRDefault="00AB7E04" w:rsidP="00AB7E04">
      <w:pPr>
        <w:pStyle w:val="ListParagraph"/>
        <w:numPr>
          <w:ilvl w:val="0"/>
          <w:numId w:val="22"/>
        </w:numPr>
        <w:jc w:val="both"/>
        <w:rPr>
          <w:rFonts w:ascii="Times New Roman" w:hAnsi="Times New Roman" w:cs="Times New Roman"/>
          <w:i/>
        </w:rPr>
      </w:pPr>
      <w:proofErr w:type="spellStart"/>
      <w:r w:rsidRPr="00AB7E04">
        <w:rPr>
          <w:rFonts w:ascii="Times New Roman" w:hAnsi="Times New Roman" w:cs="Times New Roman"/>
          <w:i/>
        </w:rPr>
        <w:t>Fotoanalitička</w:t>
      </w:r>
      <w:proofErr w:type="spellEnd"/>
      <w:r w:rsidRPr="00AB7E04">
        <w:rPr>
          <w:rFonts w:ascii="Times New Roman" w:hAnsi="Times New Roman" w:cs="Times New Roman"/>
          <w:i/>
        </w:rPr>
        <w:t xml:space="preserve"> entropija za restauraciju i izranjanje skrivenih obilježja i struktura - PRESEUSS</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Između margine i memorije: talijanske spisateljice 19. i 20. stoljeća u fundusu Sveučilišne knjižnice u Puli (</w:t>
      </w:r>
      <w:proofErr w:type="spellStart"/>
      <w:r w:rsidRPr="00AB7E04">
        <w:rPr>
          <w:rFonts w:ascii="Times New Roman" w:hAnsi="Times New Roman" w:cs="Times New Roman"/>
          <w:i/>
        </w:rPr>
        <w:t>FundusFem</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proofErr w:type="spellStart"/>
      <w:r w:rsidRPr="00AB7E04">
        <w:rPr>
          <w:rFonts w:ascii="Times New Roman" w:hAnsi="Times New Roman" w:cs="Times New Roman"/>
          <w:i/>
        </w:rPr>
        <w:t>ISTRAživanje</w:t>
      </w:r>
      <w:proofErr w:type="spellEnd"/>
      <w:r w:rsidRPr="00AB7E04">
        <w:rPr>
          <w:rFonts w:ascii="Times New Roman" w:hAnsi="Times New Roman" w:cs="Times New Roman"/>
          <w:i/>
        </w:rPr>
        <w:t xml:space="preserve"> skladateljske baštine: </w:t>
      </w:r>
      <w:proofErr w:type="spellStart"/>
      <w:r w:rsidRPr="00AB7E04">
        <w:rPr>
          <w:rFonts w:ascii="Times New Roman" w:hAnsi="Times New Roman" w:cs="Times New Roman"/>
          <w:i/>
        </w:rPr>
        <w:t>MUZikološki</w:t>
      </w:r>
      <w:proofErr w:type="spellEnd"/>
      <w:r w:rsidRPr="00AB7E04">
        <w:rPr>
          <w:rFonts w:ascii="Times New Roman" w:hAnsi="Times New Roman" w:cs="Times New Roman"/>
          <w:i/>
        </w:rPr>
        <w:t xml:space="preserve">, </w:t>
      </w:r>
      <w:proofErr w:type="spellStart"/>
      <w:r w:rsidRPr="00AB7E04">
        <w:rPr>
          <w:rFonts w:ascii="Times New Roman" w:hAnsi="Times New Roman" w:cs="Times New Roman"/>
          <w:i/>
        </w:rPr>
        <w:t>obrAzovni</w:t>
      </w:r>
      <w:proofErr w:type="spellEnd"/>
      <w:r w:rsidRPr="00AB7E04">
        <w:rPr>
          <w:rFonts w:ascii="Times New Roman" w:hAnsi="Times New Roman" w:cs="Times New Roman"/>
          <w:i/>
        </w:rPr>
        <w:t xml:space="preserve"> i izvedbeni potencijali (ISTRAMUZA)</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Rodna ravnopravnost u STEM obrazovanju i karijernim mogućnostima (STEM EQUAL)</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Književnost i kultura pred izazovima digitalnog doba (KKIDD)</w:t>
      </w:r>
    </w:p>
    <w:p w:rsidR="00AB7E04" w:rsidRPr="00AB7E04" w:rsidRDefault="00AB7E04" w:rsidP="00AB7E04">
      <w:pPr>
        <w:pStyle w:val="ListParagraph"/>
        <w:numPr>
          <w:ilvl w:val="0"/>
          <w:numId w:val="22"/>
        </w:numPr>
        <w:jc w:val="both"/>
        <w:rPr>
          <w:rFonts w:ascii="Times New Roman" w:hAnsi="Times New Roman" w:cs="Times New Roman"/>
          <w:i/>
        </w:rPr>
      </w:pPr>
      <w:proofErr w:type="spellStart"/>
      <w:r w:rsidRPr="00AB7E04">
        <w:rPr>
          <w:rFonts w:ascii="Times New Roman" w:hAnsi="Times New Roman" w:cs="Times New Roman"/>
          <w:i/>
        </w:rPr>
        <w:t>Automorfne</w:t>
      </w:r>
      <w:proofErr w:type="spellEnd"/>
      <w:r w:rsidRPr="00AB7E04">
        <w:rPr>
          <w:rFonts w:ascii="Times New Roman" w:hAnsi="Times New Roman" w:cs="Times New Roman"/>
          <w:i/>
        </w:rPr>
        <w:t xml:space="preserve"> forme i reprezentacije u aritmetici i geometriji s primjenama (AFRAGA)</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Umjetna inteligencija (UI) u perspektivama rasta i razvoja (</w:t>
      </w:r>
      <w:proofErr w:type="spellStart"/>
      <w:r w:rsidRPr="00AB7E04">
        <w:rPr>
          <w:rFonts w:ascii="Times New Roman" w:hAnsi="Times New Roman" w:cs="Times New Roman"/>
          <w:i/>
        </w:rPr>
        <w:t>AFRaiD</w:t>
      </w:r>
      <w:proofErr w:type="spellEnd"/>
      <w:r w:rsidRPr="00AB7E04">
        <w:rPr>
          <w:rFonts w:ascii="Times New Roman" w:hAnsi="Times New Roman" w:cs="Times New Roman"/>
          <w:i/>
        </w:rPr>
        <w:t>)</w:t>
      </w:r>
    </w:p>
    <w:p w:rsidR="00AB7E04"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 xml:space="preserve">ALGADERM-Ekstrakti algi za </w:t>
      </w:r>
      <w:proofErr w:type="spellStart"/>
      <w:r w:rsidRPr="00AB7E04">
        <w:rPr>
          <w:rFonts w:ascii="Times New Roman" w:hAnsi="Times New Roman" w:cs="Times New Roman"/>
          <w:i/>
        </w:rPr>
        <w:t>dermo</w:t>
      </w:r>
      <w:proofErr w:type="spellEnd"/>
      <w:r w:rsidRPr="00AB7E04">
        <w:rPr>
          <w:rFonts w:ascii="Times New Roman" w:hAnsi="Times New Roman" w:cs="Times New Roman"/>
          <w:i/>
        </w:rPr>
        <w:t>-kozmetičke primjene</w:t>
      </w:r>
    </w:p>
    <w:p w:rsidR="00082A70" w:rsidRPr="00AB7E04" w:rsidRDefault="00AB7E04" w:rsidP="00AB7E04">
      <w:pPr>
        <w:pStyle w:val="ListParagraph"/>
        <w:numPr>
          <w:ilvl w:val="0"/>
          <w:numId w:val="22"/>
        </w:numPr>
        <w:jc w:val="both"/>
        <w:rPr>
          <w:rFonts w:ascii="Times New Roman" w:hAnsi="Times New Roman" w:cs="Times New Roman"/>
          <w:i/>
        </w:rPr>
      </w:pPr>
      <w:r w:rsidRPr="00AB7E04">
        <w:rPr>
          <w:rFonts w:ascii="Times New Roman" w:hAnsi="Times New Roman" w:cs="Times New Roman"/>
          <w:i/>
        </w:rPr>
        <w:t>Dizajn sustava usmjeren na čovjeka za pravedna i održiva digitalna društva (EQUISYS)</w:t>
      </w:r>
    </w:p>
    <w:p w:rsidR="00082A70" w:rsidRPr="00C151F1" w:rsidRDefault="00082A70" w:rsidP="00082A70">
      <w:pPr>
        <w:pStyle w:val="ListParagraph"/>
        <w:ind w:left="1068"/>
        <w:jc w:val="both"/>
        <w:rPr>
          <w:rFonts w:ascii="Times New Roman" w:hAnsi="Times New Roman" w:cs="Times New Roman"/>
          <w:i/>
        </w:rPr>
      </w:pPr>
    </w:p>
    <w:p w:rsidR="00AB7E04" w:rsidRDefault="00AB7E04" w:rsidP="00082A70">
      <w:pPr>
        <w:spacing w:after="200"/>
        <w:jc w:val="both"/>
        <w:rPr>
          <w:bCs/>
          <w:i/>
          <w:iCs/>
        </w:rPr>
      </w:pPr>
    </w:p>
    <w:p w:rsidR="000907E7" w:rsidRDefault="000907E7" w:rsidP="00082A70">
      <w:pPr>
        <w:spacing w:after="200"/>
        <w:jc w:val="both"/>
        <w:rPr>
          <w:bCs/>
          <w:i/>
          <w:iCs/>
        </w:rPr>
      </w:pPr>
      <w:r>
        <w:rPr>
          <w:bCs/>
          <w:i/>
          <w:iCs/>
        </w:rPr>
        <w:t xml:space="preserve">Po osnovi navedenih projekata a u okviru Izvedbene komponente I4 – Prijave i realizacije </w:t>
      </w:r>
      <w:proofErr w:type="spellStart"/>
      <w:r>
        <w:rPr>
          <w:bCs/>
          <w:i/>
          <w:iCs/>
        </w:rPr>
        <w:t>kopletitivnih</w:t>
      </w:r>
      <w:proofErr w:type="spellEnd"/>
      <w:r>
        <w:rPr>
          <w:bCs/>
          <w:i/>
          <w:iCs/>
        </w:rPr>
        <w:t xml:space="preserve"> projekata NPOO, koji će se pratiti na izvoru 58100, u sve tri godine planirana su s</w:t>
      </w:r>
      <w:r w:rsidR="00AB7E04">
        <w:rPr>
          <w:bCs/>
          <w:i/>
          <w:iCs/>
        </w:rPr>
        <w:t xml:space="preserve">redstva u visini od </w:t>
      </w:r>
      <w:r>
        <w:rPr>
          <w:bCs/>
          <w:i/>
          <w:iCs/>
        </w:rPr>
        <w:t>po 496.973 EUR</w:t>
      </w:r>
      <w:r w:rsidR="0047648B">
        <w:rPr>
          <w:bCs/>
          <w:i/>
          <w:iCs/>
        </w:rPr>
        <w:t>.</w:t>
      </w:r>
    </w:p>
    <w:p w:rsidR="00082A70" w:rsidRDefault="00082A70" w:rsidP="00082A70">
      <w:pPr>
        <w:spacing w:after="200"/>
        <w:jc w:val="both"/>
        <w:rPr>
          <w:bCs/>
          <w:i/>
          <w:iCs/>
        </w:rPr>
      </w:pPr>
      <w:r w:rsidRPr="00633F08">
        <w:rPr>
          <w:bCs/>
          <w:i/>
          <w:iCs/>
        </w:rPr>
        <w:t>Zbog promjene metodologije 2024. i 2025 godina nisu popunjene.</w:t>
      </w:r>
      <w:r w:rsidRPr="00633F08">
        <w:rPr>
          <w:bCs/>
          <w:i/>
          <w:iCs/>
        </w:rPr>
        <w:tab/>
      </w:r>
    </w:p>
    <w:p w:rsidR="00082A70" w:rsidRDefault="00AB7E04" w:rsidP="000907E7">
      <w:pPr>
        <w:jc w:val="both"/>
        <w:rPr>
          <w:i/>
        </w:rPr>
      </w:pPr>
      <w:r w:rsidRPr="000907E7">
        <w:rPr>
          <w:i/>
        </w:rPr>
        <w:t>C</w:t>
      </w:r>
      <w:r w:rsidR="00082A70" w:rsidRPr="000907E7">
        <w:rPr>
          <w:i/>
        </w:rPr>
        <w:t>iljevi  i očekivani rezultati u predstojećem planskom razdoblju</w:t>
      </w:r>
      <w:r w:rsidRPr="000907E7">
        <w:rPr>
          <w:i/>
        </w:rPr>
        <w:t xml:space="preserve"> prikazani su u tablici ciljeva i očekivanih rezultata vezanih za programski ugovor odnosno uz aktivnost A679134.</w:t>
      </w:r>
    </w:p>
    <w:p w:rsidR="0047648B" w:rsidRDefault="0047648B" w:rsidP="000907E7">
      <w:pPr>
        <w:jc w:val="both"/>
        <w:rPr>
          <w:i/>
          <w:sz w:val="22"/>
          <w:szCs w:val="22"/>
          <w:lang w:eastAsia="en-US"/>
        </w:rPr>
      </w:pPr>
    </w:p>
    <w:p w:rsidR="0047648B" w:rsidRDefault="0047648B" w:rsidP="000907E7">
      <w:pPr>
        <w:jc w:val="both"/>
        <w:rPr>
          <w:i/>
          <w:sz w:val="22"/>
          <w:szCs w:val="22"/>
          <w:lang w:eastAsia="en-US"/>
        </w:rPr>
      </w:pPr>
    </w:p>
    <w:p w:rsidR="0047648B" w:rsidRDefault="0047648B" w:rsidP="000907E7">
      <w:pPr>
        <w:jc w:val="both"/>
        <w:rPr>
          <w:i/>
          <w:sz w:val="22"/>
          <w:szCs w:val="22"/>
          <w:lang w:eastAsia="en-US"/>
        </w:rPr>
      </w:pPr>
    </w:p>
    <w:p w:rsidR="0047648B" w:rsidRPr="000907E7" w:rsidRDefault="0047648B" w:rsidP="000907E7">
      <w:pPr>
        <w:jc w:val="both"/>
        <w:rPr>
          <w:i/>
          <w:sz w:val="22"/>
          <w:szCs w:val="22"/>
          <w:lang w:eastAsia="en-US"/>
        </w:rPr>
      </w:pPr>
    </w:p>
    <w:p w:rsidR="00082A70" w:rsidRPr="00B77F75" w:rsidRDefault="00082A70" w:rsidP="00C51C46">
      <w:pPr>
        <w:jc w:val="both"/>
      </w:pPr>
    </w:p>
    <w:p w:rsidR="00C51C46" w:rsidRPr="00AF0937" w:rsidRDefault="000B159F" w:rsidP="000B159F">
      <w:pPr>
        <w:pBdr>
          <w:top w:val="dotted" w:sz="4" w:space="1" w:color="808080" w:themeColor="background1" w:themeShade="80"/>
          <w:bottom w:val="dotted" w:sz="4" w:space="1" w:color="808080" w:themeColor="background1" w:themeShade="80"/>
        </w:pBdr>
        <w:shd w:val="clear" w:color="auto" w:fill="D0CECE" w:themeFill="background2" w:themeFillShade="E6"/>
        <w:rPr>
          <w:sz w:val="28"/>
          <w:szCs w:val="28"/>
        </w:rPr>
      </w:pPr>
      <w:r w:rsidRPr="00AF0937">
        <w:rPr>
          <w:sz w:val="28"/>
          <w:szCs w:val="28"/>
        </w:rPr>
        <w:lastRenderedPageBreak/>
        <w:t xml:space="preserve">A679135  </w:t>
      </w:r>
      <w:r w:rsidR="001B463C">
        <w:rPr>
          <w:sz w:val="28"/>
          <w:szCs w:val="28"/>
        </w:rPr>
        <w:t xml:space="preserve">- </w:t>
      </w:r>
      <w:r w:rsidRPr="00AF0937">
        <w:rPr>
          <w:sz w:val="28"/>
          <w:szCs w:val="28"/>
        </w:rPr>
        <w:t xml:space="preserve"> PROGRAMSKO I OSTALO FINANCIRANJE JAVNIH VISOKIH UČILIŠTA – IZ EVIDENCIJSKIH PRIHODA</w:t>
      </w:r>
    </w:p>
    <w:p w:rsidR="00C51C46" w:rsidRPr="00B77F75" w:rsidRDefault="00C51C46" w:rsidP="00C51C46">
      <w:pPr>
        <w:jc w:val="both"/>
        <w:rPr>
          <w:i/>
        </w:rPr>
      </w:pPr>
      <w:r w:rsidRPr="00B77F75">
        <w:rPr>
          <w:i/>
        </w:rPr>
        <w:t>Zakonske i druge pravne osnove</w:t>
      </w:r>
    </w:p>
    <w:p w:rsidR="00C51C46" w:rsidRPr="00B77F75" w:rsidRDefault="00C51C46" w:rsidP="00C51C46">
      <w:pPr>
        <w:jc w:val="both"/>
        <w:rPr>
          <w:i/>
        </w:rPr>
      </w:pPr>
    </w:p>
    <w:p w:rsidR="00023380" w:rsidRDefault="00023380" w:rsidP="00023380">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visokom obrazovanju i znanstvenoj djelatnosti (NN 119/22)</w:t>
      </w:r>
    </w:p>
    <w:p w:rsidR="00023380" w:rsidRPr="00DD1ECF" w:rsidRDefault="00023380" w:rsidP="00023380">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osiguravanju kvalitete u visokom obrazovanju i znanosti (NN 151/22)</w:t>
      </w:r>
    </w:p>
    <w:p w:rsidR="00023380" w:rsidRDefault="00023380" w:rsidP="00023380">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w:t>
      </w:r>
      <w:r>
        <w:rPr>
          <w:rFonts w:ascii="Times New Roman" w:eastAsia="Times New Roman" w:hAnsi="Times New Roman" w:cs="Times New Roman"/>
          <w:sz w:val="24"/>
          <w:szCs w:val="24"/>
          <w:lang w:eastAsia="en-GB"/>
        </w:rPr>
        <w:t xml:space="preserve"> </w:t>
      </w:r>
      <w:r w:rsidRPr="00DD1ECF">
        <w:rPr>
          <w:rFonts w:ascii="Times New Roman" w:eastAsia="Times New Roman" w:hAnsi="Times New Roman" w:cs="Times New Roman"/>
          <w:sz w:val="24"/>
          <w:szCs w:val="24"/>
          <w:lang w:eastAsia="en-GB"/>
        </w:rPr>
        <w:t>Hrvatskom kvalifikacijskom okviru</w:t>
      </w:r>
      <w:r>
        <w:rPr>
          <w:rFonts w:ascii="Times New Roman" w:eastAsia="Times New Roman" w:hAnsi="Times New Roman" w:cs="Times New Roman"/>
          <w:sz w:val="24"/>
          <w:szCs w:val="24"/>
          <w:lang w:eastAsia="en-GB"/>
        </w:rPr>
        <w:t xml:space="preserve"> (NN22/13, 64/18 i 20/21)</w:t>
      </w:r>
    </w:p>
    <w:p w:rsidR="00023380" w:rsidRPr="00753F41" w:rsidRDefault="00023380" w:rsidP="00023380">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Nacionalni plan razvoja sustava obrazovanja za razdoblje do 2027. godine</w:t>
      </w:r>
    </w:p>
    <w:p w:rsidR="00023380" w:rsidRPr="00753F41" w:rsidRDefault="00023380" w:rsidP="00023380">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Plan razvoja obrazovanja Istarske županije do 2030.godine</w:t>
      </w:r>
    </w:p>
    <w:p w:rsidR="00023380" w:rsidRPr="00023380" w:rsidRDefault="00023380" w:rsidP="00023380">
      <w:pPr>
        <w:pStyle w:val="ListParagraph"/>
        <w:numPr>
          <w:ilvl w:val="0"/>
          <w:numId w:val="8"/>
        </w:numPr>
        <w:jc w:val="both"/>
        <w:rPr>
          <w:iCs/>
          <w:lang w:bidi="ta-IN"/>
        </w:rPr>
      </w:pPr>
      <w:r w:rsidRPr="00753F41">
        <w:rPr>
          <w:rFonts w:ascii="Times New Roman" w:eastAsia="Times New Roman" w:hAnsi="Times New Roman" w:cs="Times New Roman"/>
          <w:sz w:val="24"/>
          <w:szCs w:val="24"/>
          <w:lang w:eastAsia="en-GB"/>
        </w:rPr>
        <w:t>Strategija razvoja urbanog područja Pula 2021-2027</w:t>
      </w:r>
    </w:p>
    <w:p w:rsidR="00023380" w:rsidRDefault="00023380" w:rsidP="00023380">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Uredba o programskom financiranju javnih visokih učilišta i javnih znanstvenih instituta u Republici Hrvatskoj</w:t>
      </w:r>
      <w:r w:rsidRPr="00201A55">
        <w:rPr>
          <w:rFonts w:ascii="Times New Roman" w:eastAsia="Times New Roman" w:hAnsi="Times New Roman" w:cs="Times New Roman"/>
          <w:sz w:val="24"/>
          <w:szCs w:val="24"/>
          <w:lang w:eastAsia="en-GB"/>
        </w:rPr>
        <w:t xml:space="preserve">  NN 78/2023</w:t>
      </w:r>
    </w:p>
    <w:p w:rsidR="00023380" w:rsidRPr="00A6677E" w:rsidRDefault="00023380" w:rsidP="00023380">
      <w:pPr>
        <w:pStyle w:val="ListParagraph"/>
        <w:numPr>
          <w:ilvl w:val="0"/>
          <w:numId w:val="8"/>
        </w:numPr>
        <w:jc w:val="both"/>
        <w:rPr>
          <w:iCs/>
          <w:lang w:bidi="ta-IN"/>
        </w:rPr>
      </w:pPr>
      <w:r w:rsidRPr="00A6677E">
        <w:rPr>
          <w:rFonts w:ascii="Times New Roman" w:eastAsia="Times New Roman" w:hAnsi="Times New Roman" w:cs="Times New Roman"/>
          <w:sz w:val="24"/>
          <w:szCs w:val="24"/>
          <w:lang w:eastAsia="en-GB"/>
        </w:rPr>
        <w:t xml:space="preserve">Strategija razvoja karijera za istraživače Sveučilišta Jurja Dobrile u Puli (2024.-2028.) </w:t>
      </w:r>
    </w:p>
    <w:p w:rsidR="00023380" w:rsidRDefault="00023380" w:rsidP="00023380">
      <w:pPr>
        <w:pStyle w:val="ListParagraph"/>
        <w:numPr>
          <w:ilvl w:val="0"/>
          <w:numId w:val="8"/>
        </w:numPr>
        <w:jc w:val="both"/>
        <w:rPr>
          <w:iCs/>
          <w:lang w:bidi="ta-IN"/>
        </w:rPr>
      </w:pPr>
      <w:r w:rsidRPr="00A6677E">
        <w:rPr>
          <w:iCs/>
          <w:lang w:bidi="ta-IN"/>
        </w:rPr>
        <w:t>Istraživačka umjetnička strategija Sveučilišta Jurja Dobrile u Puli (2022.-2026.)</w:t>
      </w:r>
    </w:p>
    <w:p w:rsidR="00023380" w:rsidRDefault="00023380" w:rsidP="00023380">
      <w:pPr>
        <w:pStyle w:val="ListParagraph"/>
        <w:numPr>
          <w:ilvl w:val="0"/>
          <w:numId w:val="8"/>
        </w:numPr>
        <w:jc w:val="both"/>
        <w:rPr>
          <w:iCs/>
          <w:lang w:bidi="ta-IN"/>
        </w:rPr>
      </w:pPr>
      <w:r w:rsidRPr="00A6677E">
        <w:rPr>
          <w:iCs/>
          <w:lang w:bidi="ta-IN"/>
        </w:rPr>
        <w:t>Strategija razvoja Sveučilišta Jurja Dobrile u Puli (2021-2026)</w:t>
      </w:r>
    </w:p>
    <w:p w:rsidR="00023380" w:rsidRPr="00023380" w:rsidRDefault="00023380" w:rsidP="00023380">
      <w:pPr>
        <w:pStyle w:val="ListParagraph"/>
        <w:numPr>
          <w:ilvl w:val="0"/>
          <w:numId w:val="8"/>
        </w:numPr>
        <w:jc w:val="both"/>
        <w:rPr>
          <w:iCs/>
          <w:lang w:bidi="ta-IN"/>
        </w:rPr>
      </w:pPr>
      <w:r w:rsidRPr="00A6677E">
        <w:rPr>
          <w:iCs/>
          <w:lang w:bidi="ta-IN"/>
        </w:rPr>
        <w:t>Istraživačka strategija Sveučilišta Jurja Dobrile u Puli (2021.-2026.)</w:t>
      </w:r>
    </w:p>
    <w:p w:rsidR="00C51C46" w:rsidRPr="00DD2F24" w:rsidRDefault="00363409" w:rsidP="00DD2F24">
      <w:pPr>
        <w:pStyle w:val="ListParagraph"/>
        <w:numPr>
          <w:ilvl w:val="0"/>
          <w:numId w:val="8"/>
        </w:numPr>
        <w:jc w:val="both"/>
        <w:rPr>
          <w:iCs/>
          <w:lang w:bidi="ta-IN"/>
        </w:rPr>
      </w:pPr>
      <w:r w:rsidRPr="00DD2F24">
        <w:rPr>
          <w:iCs/>
          <w:lang w:bidi="ta-IN"/>
        </w:rPr>
        <w:t>Pravilnik o mjerilima i načinu korištenja namjenskih prihoda proračunskih korisnika iz nadležnosti ministarstva znanosti, obrazovanja i mladih NN 79/2024</w:t>
      </w:r>
    </w:p>
    <w:p w:rsidR="005A7C1C" w:rsidRPr="006511DC" w:rsidRDefault="00363409" w:rsidP="006511DC">
      <w:pPr>
        <w:pStyle w:val="ListParagraph"/>
        <w:numPr>
          <w:ilvl w:val="0"/>
          <w:numId w:val="8"/>
        </w:numPr>
        <w:jc w:val="both"/>
        <w:rPr>
          <w:i/>
        </w:rPr>
      </w:pPr>
      <w:r w:rsidRPr="000D6DFB">
        <w:rPr>
          <w:iCs/>
          <w:lang w:bidi="ta-IN"/>
        </w:rPr>
        <w:t>Pravilnik o mjerilima i načinu korištenja nenamjenskih donacija i vlastitih  prihoda proračunskih korisnika iz nadležnosti ministarstva znanosti, obrazovanja i mladih NN 79/2024</w:t>
      </w:r>
    </w:p>
    <w:p w:rsidR="006511DC" w:rsidRPr="006511DC" w:rsidRDefault="006511DC" w:rsidP="006511DC">
      <w:pPr>
        <w:pStyle w:val="ListParagraph"/>
        <w:numPr>
          <w:ilvl w:val="0"/>
          <w:numId w:val="8"/>
        </w:numPr>
        <w:jc w:val="both"/>
        <w:rPr>
          <w:iCs/>
          <w:lang w:bidi="ta-IN"/>
        </w:rPr>
      </w:pPr>
      <w:r w:rsidRPr="006511DC">
        <w:rPr>
          <w:iCs/>
          <w:lang w:bidi="ta-IN"/>
        </w:rPr>
        <w:t>Zakon o Agenciji za mobilnost i programe Europske unije</w:t>
      </w:r>
    </w:p>
    <w:p w:rsidR="006511DC" w:rsidRPr="006511DC" w:rsidRDefault="006511DC" w:rsidP="006511DC">
      <w:pPr>
        <w:pStyle w:val="ListParagraph"/>
        <w:numPr>
          <w:ilvl w:val="0"/>
          <w:numId w:val="8"/>
        </w:numPr>
        <w:jc w:val="both"/>
        <w:rPr>
          <w:iCs/>
          <w:lang w:bidi="ta-IN"/>
        </w:rPr>
      </w:pPr>
      <w:r w:rsidRPr="006511DC">
        <w:rPr>
          <w:iCs/>
          <w:lang w:bidi="ta-IN"/>
        </w:rPr>
        <w:t xml:space="preserve">Uredba (EU) 2021/817 Europskog parlamenta i Vijeća od 20. svibnja 2021. o uspostavi programa Unije za obrazovanje i osposobljavanje, mlade i sport </w:t>
      </w:r>
      <w:proofErr w:type="spellStart"/>
      <w:r w:rsidRPr="006511DC">
        <w:rPr>
          <w:iCs/>
          <w:lang w:bidi="ta-IN"/>
        </w:rPr>
        <w:t>Erasmus</w:t>
      </w:r>
      <w:proofErr w:type="spellEnd"/>
      <w:r w:rsidRPr="006511DC">
        <w:rPr>
          <w:iCs/>
          <w:lang w:bidi="ta-IN"/>
        </w:rPr>
        <w:t>+ te o stavljanju izvan snage Uredbe (EU) br. 1288/2013</w:t>
      </w:r>
    </w:p>
    <w:p w:rsidR="006511DC" w:rsidRPr="006511DC" w:rsidRDefault="006511DC" w:rsidP="006511DC">
      <w:pPr>
        <w:pStyle w:val="ListParagraph"/>
        <w:numPr>
          <w:ilvl w:val="0"/>
          <w:numId w:val="8"/>
        </w:numPr>
        <w:jc w:val="both"/>
        <w:rPr>
          <w:iCs/>
          <w:lang w:bidi="ta-IN"/>
        </w:rPr>
      </w:pPr>
      <w:r w:rsidRPr="006511DC">
        <w:rPr>
          <w:iCs/>
          <w:lang w:bidi="ta-IN"/>
        </w:rPr>
        <w:t>UREDBA (EU) 2021/695 EUROPSKOG PARLAMENTA I VIJEĆA od 28. travnja 2021. o uspostavi Okvirnog programa za istraživanja i inovacije Obzor Europa, o utvrđivanju pravila za sudjelovanje i širenje rezultata te o stavljanju izvan snage uredbi (EU) br. 1290/2013 i (EU) br. 1291/2013</w:t>
      </w:r>
    </w:p>
    <w:p w:rsidR="006511DC" w:rsidRPr="006511DC" w:rsidRDefault="006511DC" w:rsidP="006511DC">
      <w:pPr>
        <w:pStyle w:val="ListParagraph"/>
        <w:numPr>
          <w:ilvl w:val="0"/>
          <w:numId w:val="8"/>
        </w:numPr>
        <w:jc w:val="both"/>
        <w:rPr>
          <w:iCs/>
          <w:lang w:bidi="ta-IN"/>
        </w:rPr>
      </w:pPr>
      <w:r w:rsidRPr="006511DC">
        <w:rPr>
          <w:iCs/>
          <w:lang w:bidi="ta-IN"/>
        </w:rPr>
        <w:t>ODLUKA VIJEĆA (EU) 2021/764 od 10. svibnja 2021. o uspostavi posebnog programa za provedbu Okvirnog programa za istraživanja i inovacije Obzor Europa te o stavljanju izvan snage Odluke 2013/743/EU</w:t>
      </w:r>
    </w:p>
    <w:p w:rsidR="00CC59C9" w:rsidRDefault="00CC59C9" w:rsidP="006511DC">
      <w:pPr>
        <w:pStyle w:val="ListParagraph"/>
        <w:ind w:left="1570"/>
        <w:jc w:val="both"/>
        <w:rPr>
          <w:i/>
        </w:rPr>
      </w:pPr>
    </w:p>
    <w:p w:rsidR="00CC59C9" w:rsidRPr="000D6DFB" w:rsidRDefault="00CC59C9" w:rsidP="006511DC">
      <w:pPr>
        <w:pStyle w:val="ListParagraph"/>
        <w:ind w:left="1570"/>
        <w:jc w:val="both"/>
        <w:rPr>
          <w:i/>
        </w:rPr>
      </w:pPr>
    </w:p>
    <w:tbl>
      <w:tblPr>
        <w:tblStyle w:val="TableGrid"/>
        <w:tblW w:w="0" w:type="auto"/>
        <w:tblLayout w:type="fixed"/>
        <w:tblLook w:val="04A0" w:firstRow="1" w:lastRow="0" w:firstColumn="1" w:lastColumn="0" w:noHBand="0" w:noVBand="1"/>
      </w:tblPr>
      <w:tblGrid>
        <w:gridCol w:w="1980"/>
        <w:gridCol w:w="1276"/>
        <w:gridCol w:w="1275"/>
        <w:gridCol w:w="1134"/>
        <w:gridCol w:w="1164"/>
        <w:gridCol w:w="1214"/>
        <w:gridCol w:w="1019"/>
      </w:tblGrid>
      <w:tr w:rsidR="00D00B54" w:rsidRPr="00126A31" w:rsidTr="000D6DFB">
        <w:tc>
          <w:tcPr>
            <w:tcW w:w="1980" w:type="dxa"/>
            <w:shd w:val="clear" w:color="auto" w:fill="D0CECE" w:themeFill="background2" w:themeFillShade="E6"/>
          </w:tcPr>
          <w:p w:rsidR="00D00B54" w:rsidRPr="00B77F75" w:rsidRDefault="00D00B54" w:rsidP="00D00B54">
            <w:pPr>
              <w:jc w:val="both"/>
            </w:pPr>
          </w:p>
          <w:p w:rsidR="00D00B54" w:rsidRPr="00B77F75" w:rsidRDefault="00D00B54" w:rsidP="00D00B54">
            <w:pPr>
              <w:jc w:val="both"/>
            </w:pPr>
          </w:p>
        </w:tc>
        <w:tc>
          <w:tcPr>
            <w:tcW w:w="1276" w:type="dxa"/>
            <w:shd w:val="clear" w:color="auto" w:fill="D0CECE" w:themeFill="background2" w:themeFillShade="E6"/>
            <w:vAlign w:val="center"/>
          </w:tcPr>
          <w:p w:rsidR="00D00B54" w:rsidRPr="00126A31" w:rsidRDefault="00D00B54" w:rsidP="00D00B54">
            <w:pPr>
              <w:jc w:val="center"/>
            </w:pPr>
            <w:r w:rsidRPr="00126A31">
              <w:t>Izvršenje 202</w:t>
            </w:r>
            <w:r w:rsidR="003E2361" w:rsidRPr="00126A31">
              <w:t>4</w:t>
            </w:r>
            <w:r w:rsidRPr="00126A31">
              <w:t>.</w:t>
            </w:r>
          </w:p>
        </w:tc>
        <w:tc>
          <w:tcPr>
            <w:tcW w:w="1275" w:type="dxa"/>
            <w:shd w:val="clear" w:color="auto" w:fill="D0CECE" w:themeFill="background2" w:themeFillShade="E6"/>
            <w:vAlign w:val="center"/>
          </w:tcPr>
          <w:p w:rsidR="00D00B54" w:rsidRPr="00126A31" w:rsidRDefault="00D00B54" w:rsidP="00D00B54">
            <w:pPr>
              <w:jc w:val="center"/>
            </w:pPr>
            <w:r w:rsidRPr="00126A31">
              <w:t>Plan 202</w:t>
            </w:r>
            <w:r w:rsidR="003E2361" w:rsidRPr="00126A31">
              <w:t>5</w:t>
            </w:r>
            <w:r w:rsidRPr="00126A31">
              <w:t>.</w:t>
            </w:r>
          </w:p>
        </w:tc>
        <w:tc>
          <w:tcPr>
            <w:tcW w:w="1134" w:type="dxa"/>
            <w:shd w:val="clear" w:color="auto" w:fill="D0CECE" w:themeFill="background2" w:themeFillShade="E6"/>
            <w:vAlign w:val="center"/>
          </w:tcPr>
          <w:p w:rsidR="00D00B54" w:rsidRPr="00126A31" w:rsidRDefault="00D00B54" w:rsidP="00D00B54">
            <w:pPr>
              <w:jc w:val="center"/>
            </w:pPr>
            <w:r w:rsidRPr="00126A31">
              <w:t>Plan 202</w:t>
            </w:r>
            <w:r w:rsidR="003E2361" w:rsidRPr="00126A31">
              <w:t>6</w:t>
            </w:r>
            <w:r w:rsidRPr="00126A31">
              <w:t>.</w:t>
            </w:r>
          </w:p>
        </w:tc>
        <w:tc>
          <w:tcPr>
            <w:tcW w:w="1164" w:type="dxa"/>
            <w:shd w:val="clear" w:color="auto" w:fill="D0CECE" w:themeFill="background2" w:themeFillShade="E6"/>
            <w:vAlign w:val="center"/>
          </w:tcPr>
          <w:p w:rsidR="00D00B54" w:rsidRPr="00126A31" w:rsidRDefault="00D00B54" w:rsidP="00D00B54">
            <w:pPr>
              <w:jc w:val="center"/>
            </w:pPr>
            <w:r w:rsidRPr="00126A31">
              <w:t>Plan 202</w:t>
            </w:r>
            <w:r w:rsidR="003E2361" w:rsidRPr="00126A31">
              <w:t>7</w:t>
            </w:r>
            <w:r w:rsidRPr="00126A31">
              <w:t>.</w:t>
            </w:r>
          </w:p>
        </w:tc>
        <w:tc>
          <w:tcPr>
            <w:tcW w:w="1214" w:type="dxa"/>
            <w:shd w:val="clear" w:color="auto" w:fill="D0CECE" w:themeFill="background2" w:themeFillShade="E6"/>
            <w:vAlign w:val="center"/>
          </w:tcPr>
          <w:p w:rsidR="00D00B54" w:rsidRPr="00126A31" w:rsidRDefault="00D00B54" w:rsidP="00D00B54">
            <w:pPr>
              <w:jc w:val="center"/>
            </w:pPr>
            <w:r w:rsidRPr="00126A31">
              <w:t>Plan 202</w:t>
            </w:r>
            <w:r w:rsidR="003E2361" w:rsidRPr="00126A31">
              <w:t>8</w:t>
            </w:r>
            <w:r w:rsidRPr="00126A31">
              <w:t>.</w:t>
            </w:r>
          </w:p>
        </w:tc>
        <w:tc>
          <w:tcPr>
            <w:tcW w:w="1019" w:type="dxa"/>
            <w:shd w:val="clear" w:color="auto" w:fill="D0CECE" w:themeFill="background2" w:themeFillShade="E6"/>
            <w:vAlign w:val="center"/>
          </w:tcPr>
          <w:p w:rsidR="00D00B54" w:rsidRPr="00126A31" w:rsidRDefault="00D00B54" w:rsidP="00D00B54">
            <w:pPr>
              <w:jc w:val="center"/>
            </w:pPr>
            <w:r w:rsidRPr="00126A31">
              <w:t>Indeks 2</w:t>
            </w:r>
            <w:r w:rsidR="003E2361" w:rsidRPr="00126A31">
              <w:t>6</w:t>
            </w:r>
            <w:r w:rsidRPr="00126A31">
              <w:t>./2</w:t>
            </w:r>
            <w:r w:rsidR="003E2361" w:rsidRPr="00126A31">
              <w:t>5</w:t>
            </w:r>
            <w:r w:rsidRPr="00126A31">
              <w:t>.</w:t>
            </w:r>
          </w:p>
        </w:tc>
      </w:tr>
      <w:tr w:rsidR="00455B7C" w:rsidRPr="00126A31" w:rsidTr="000B159F">
        <w:trPr>
          <w:trHeight w:val="2041"/>
        </w:trPr>
        <w:tc>
          <w:tcPr>
            <w:tcW w:w="1980" w:type="dxa"/>
          </w:tcPr>
          <w:p w:rsidR="000B159F" w:rsidRPr="000B159F" w:rsidRDefault="00455B7C" w:rsidP="000D6DFB">
            <w:pPr>
              <w:pBdr>
                <w:top w:val="dotted" w:sz="4" w:space="1" w:color="808080" w:themeColor="background1" w:themeShade="80"/>
                <w:bottom w:val="dotted" w:sz="4" w:space="1" w:color="808080" w:themeColor="background1" w:themeShade="80"/>
              </w:pBdr>
              <w:shd w:val="clear" w:color="auto" w:fill="D0CECE" w:themeFill="background2" w:themeFillShade="E6"/>
              <w:rPr>
                <w:sz w:val="20"/>
                <w:szCs w:val="20"/>
              </w:rPr>
            </w:pPr>
            <w:r w:rsidRPr="00126A31">
              <w:t xml:space="preserve">Šifra aktivnosti/ </w:t>
            </w:r>
            <w:r w:rsidR="000B159F" w:rsidRPr="000B159F">
              <w:rPr>
                <w:sz w:val="20"/>
                <w:szCs w:val="20"/>
              </w:rPr>
              <w:t>A679135</w:t>
            </w:r>
          </w:p>
          <w:p w:rsidR="00455B7C" w:rsidRPr="000B159F" w:rsidRDefault="000B159F" w:rsidP="000D6DFB">
            <w:pPr>
              <w:pBdr>
                <w:top w:val="dotted" w:sz="4" w:space="1" w:color="808080" w:themeColor="background1" w:themeShade="80"/>
                <w:bottom w:val="dotted" w:sz="4" w:space="1" w:color="808080" w:themeColor="background1" w:themeShade="80"/>
              </w:pBdr>
              <w:shd w:val="clear" w:color="auto" w:fill="D0CECE" w:themeFill="background2" w:themeFillShade="E6"/>
              <w:rPr>
                <w:sz w:val="20"/>
                <w:szCs w:val="20"/>
              </w:rPr>
            </w:pPr>
            <w:r w:rsidRPr="000B159F">
              <w:rPr>
                <w:sz w:val="20"/>
                <w:szCs w:val="20"/>
              </w:rPr>
              <w:t>PROGRAMSKO I OSTALO FINANCIRANJE JAVNIH VISOKIH UČILIŠTA – IZ EVIDENCIJSKIH PRIHODA</w:t>
            </w:r>
          </w:p>
        </w:tc>
        <w:tc>
          <w:tcPr>
            <w:tcW w:w="1276" w:type="dxa"/>
            <w:shd w:val="clear" w:color="auto" w:fill="auto"/>
          </w:tcPr>
          <w:p w:rsidR="00455B7C" w:rsidRPr="00126A31" w:rsidRDefault="003E2361" w:rsidP="00455B7C">
            <w:pPr>
              <w:rPr>
                <w:sz w:val="22"/>
                <w:szCs w:val="22"/>
              </w:rPr>
            </w:pPr>
            <w:r w:rsidRPr="00126A31">
              <w:rPr>
                <w:sz w:val="22"/>
                <w:szCs w:val="22"/>
              </w:rPr>
              <w:t>4.751.621</w:t>
            </w:r>
          </w:p>
          <w:p w:rsidR="00455B7C" w:rsidRPr="00126A31" w:rsidRDefault="00455B7C" w:rsidP="00455B7C">
            <w:pPr>
              <w:rPr>
                <w:sz w:val="22"/>
                <w:szCs w:val="22"/>
              </w:rPr>
            </w:pPr>
            <w:r w:rsidRPr="00126A31">
              <w:rPr>
                <w:sz w:val="22"/>
                <w:szCs w:val="22"/>
              </w:rPr>
              <w:t xml:space="preserve">    EUR</w:t>
            </w:r>
          </w:p>
        </w:tc>
        <w:tc>
          <w:tcPr>
            <w:tcW w:w="1275" w:type="dxa"/>
          </w:tcPr>
          <w:p w:rsidR="00455B7C" w:rsidRPr="00126A31" w:rsidRDefault="00F2219E" w:rsidP="00455B7C">
            <w:pPr>
              <w:jc w:val="center"/>
              <w:rPr>
                <w:sz w:val="22"/>
                <w:szCs w:val="22"/>
              </w:rPr>
            </w:pPr>
            <w:r>
              <w:rPr>
                <w:sz w:val="22"/>
                <w:szCs w:val="22"/>
              </w:rPr>
              <w:t xml:space="preserve">3.538.410 </w:t>
            </w:r>
            <w:r w:rsidR="00455B7C" w:rsidRPr="00126A31">
              <w:rPr>
                <w:sz w:val="22"/>
                <w:szCs w:val="22"/>
              </w:rPr>
              <w:t>EUR</w:t>
            </w:r>
          </w:p>
        </w:tc>
        <w:tc>
          <w:tcPr>
            <w:tcW w:w="1134" w:type="dxa"/>
          </w:tcPr>
          <w:p w:rsidR="00455B7C" w:rsidRPr="00126A31" w:rsidRDefault="003E2361" w:rsidP="00455B7C">
            <w:pPr>
              <w:jc w:val="center"/>
              <w:rPr>
                <w:sz w:val="22"/>
                <w:szCs w:val="22"/>
              </w:rPr>
            </w:pPr>
            <w:r w:rsidRPr="00126A31">
              <w:rPr>
                <w:sz w:val="22"/>
                <w:szCs w:val="22"/>
              </w:rPr>
              <w:t>2.</w:t>
            </w:r>
            <w:r w:rsidR="004A07A4" w:rsidRPr="00126A31">
              <w:rPr>
                <w:sz w:val="22"/>
                <w:szCs w:val="22"/>
              </w:rPr>
              <w:t>732.50</w:t>
            </w:r>
            <w:r w:rsidR="0047648B">
              <w:rPr>
                <w:sz w:val="22"/>
                <w:szCs w:val="22"/>
              </w:rPr>
              <w:t>9</w:t>
            </w:r>
            <w:r w:rsidR="00455B7C" w:rsidRPr="00126A31">
              <w:rPr>
                <w:sz w:val="22"/>
                <w:szCs w:val="22"/>
              </w:rPr>
              <w:t xml:space="preserve"> EUR</w:t>
            </w:r>
          </w:p>
        </w:tc>
        <w:tc>
          <w:tcPr>
            <w:tcW w:w="1164" w:type="dxa"/>
          </w:tcPr>
          <w:p w:rsidR="00455B7C" w:rsidRPr="00126A31" w:rsidRDefault="003E2361" w:rsidP="00455B7C">
            <w:pPr>
              <w:jc w:val="center"/>
              <w:rPr>
                <w:sz w:val="22"/>
                <w:szCs w:val="22"/>
              </w:rPr>
            </w:pPr>
            <w:r w:rsidRPr="00126A31">
              <w:rPr>
                <w:sz w:val="22"/>
                <w:szCs w:val="22"/>
              </w:rPr>
              <w:t>2.</w:t>
            </w:r>
            <w:r w:rsidR="004A07A4" w:rsidRPr="00126A31">
              <w:rPr>
                <w:sz w:val="22"/>
                <w:szCs w:val="22"/>
              </w:rPr>
              <w:t>131</w:t>
            </w:r>
            <w:r w:rsidRPr="00126A31">
              <w:rPr>
                <w:sz w:val="22"/>
                <w:szCs w:val="22"/>
              </w:rPr>
              <w:t>.</w:t>
            </w:r>
            <w:r w:rsidR="004A07A4" w:rsidRPr="00126A31">
              <w:rPr>
                <w:sz w:val="22"/>
                <w:szCs w:val="22"/>
              </w:rPr>
              <w:t>25</w:t>
            </w:r>
            <w:r w:rsidR="0047648B">
              <w:rPr>
                <w:sz w:val="22"/>
                <w:szCs w:val="22"/>
              </w:rPr>
              <w:t>8</w:t>
            </w:r>
            <w:r w:rsidR="005E132B" w:rsidRPr="00126A31">
              <w:rPr>
                <w:sz w:val="22"/>
                <w:szCs w:val="22"/>
              </w:rPr>
              <w:t xml:space="preserve"> EUR</w:t>
            </w:r>
          </w:p>
        </w:tc>
        <w:tc>
          <w:tcPr>
            <w:tcW w:w="1214" w:type="dxa"/>
          </w:tcPr>
          <w:p w:rsidR="00455B7C" w:rsidRPr="00126A31" w:rsidRDefault="003231E9" w:rsidP="00455B7C">
            <w:pPr>
              <w:jc w:val="center"/>
              <w:rPr>
                <w:sz w:val="22"/>
                <w:szCs w:val="22"/>
              </w:rPr>
            </w:pPr>
            <w:r w:rsidRPr="00126A31">
              <w:rPr>
                <w:sz w:val="22"/>
                <w:szCs w:val="22"/>
              </w:rPr>
              <w:t>2</w:t>
            </w:r>
            <w:r w:rsidR="00F2219E">
              <w:rPr>
                <w:sz w:val="22"/>
                <w:szCs w:val="22"/>
              </w:rPr>
              <w:t>.</w:t>
            </w:r>
            <w:r w:rsidR="004A07A4" w:rsidRPr="00126A31">
              <w:rPr>
                <w:sz w:val="22"/>
                <w:szCs w:val="22"/>
              </w:rPr>
              <w:t>151</w:t>
            </w:r>
            <w:r w:rsidRPr="00126A31">
              <w:rPr>
                <w:sz w:val="22"/>
                <w:szCs w:val="22"/>
              </w:rPr>
              <w:t>.</w:t>
            </w:r>
            <w:r w:rsidR="004A07A4" w:rsidRPr="00126A31">
              <w:rPr>
                <w:sz w:val="22"/>
                <w:szCs w:val="22"/>
              </w:rPr>
              <w:t>505</w:t>
            </w:r>
            <w:r w:rsidR="005E132B" w:rsidRPr="00126A31">
              <w:rPr>
                <w:sz w:val="22"/>
                <w:szCs w:val="22"/>
              </w:rPr>
              <w:t xml:space="preserve"> EUR</w:t>
            </w:r>
          </w:p>
        </w:tc>
        <w:tc>
          <w:tcPr>
            <w:tcW w:w="1019" w:type="dxa"/>
          </w:tcPr>
          <w:p w:rsidR="00455B7C" w:rsidRPr="00126A31" w:rsidRDefault="00F2219E" w:rsidP="00455B7C">
            <w:pPr>
              <w:jc w:val="center"/>
            </w:pPr>
            <w:r>
              <w:t>77,22</w:t>
            </w:r>
          </w:p>
          <w:p w:rsidR="004A07A4" w:rsidRPr="00126A31" w:rsidRDefault="004A07A4" w:rsidP="00455B7C">
            <w:pPr>
              <w:jc w:val="center"/>
            </w:pPr>
          </w:p>
        </w:tc>
      </w:tr>
    </w:tbl>
    <w:p w:rsidR="00C51C46" w:rsidRPr="00126A31" w:rsidRDefault="00C51C46" w:rsidP="00C51C46">
      <w:pPr>
        <w:jc w:val="both"/>
        <w:rPr>
          <w:i/>
        </w:rPr>
      </w:pPr>
    </w:p>
    <w:p w:rsidR="00C52681" w:rsidRPr="00126A31" w:rsidRDefault="00C51C46" w:rsidP="00C51C46">
      <w:pPr>
        <w:jc w:val="both"/>
        <w:rPr>
          <w:i/>
        </w:rPr>
      </w:pPr>
      <w:r w:rsidRPr="00126A31">
        <w:rPr>
          <w:i/>
        </w:rPr>
        <w:t xml:space="preserve">Ova aktivnost </w:t>
      </w:r>
      <w:r w:rsidR="00C52681" w:rsidRPr="00126A31">
        <w:rPr>
          <w:i/>
        </w:rPr>
        <w:t>obuhvaća financiranje iz evidencijskih prihoda Sveučilišta, odnosno obuhvaća</w:t>
      </w:r>
      <w:r w:rsidR="005B27BE" w:rsidRPr="00126A31">
        <w:rPr>
          <w:i/>
        </w:rPr>
        <w:t xml:space="preserve"> rashode financirane iz</w:t>
      </w:r>
      <w:r w:rsidR="00C52681" w:rsidRPr="00126A31">
        <w:rPr>
          <w:i/>
        </w:rPr>
        <w:t xml:space="preserve"> vlastit</w:t>
      </w:r>
      <w:r w:rsidR="005B27BE" w:rsidRPr="00126A31">
        <w:rPr>
          <w:i/>
        </w:rPr>
        <w:t>ih</w:t>
      </w:r>
      <w:r w:rsidR="00C52681" w:rsidRPr="00126A31">
        <w:rPr>
          <w:i/>
        </w:rPr>
        <w:t xml:space="preserve"> i namjensk</w:t>
      </w:r>
      <w:r w:rsidR="005B27BE" w:rsidRPr="00126A31">
        <w:rPr>
          <w:i/>
        </w:rPr>
        <w:t>ih</w:t>
      </w:r>
      <w:r w:rsidR="00C52681" w:rsidRPr="00126A31">
        <w:rPr>
          <w:i/>
        </w:rPr>
        <w:t xml:space="preserve"> prihod</w:t>
      </w:r>
      <w:r w:rsidR="005B27BE" w:rsidRPr="00126A31">
        <w:rPr>
          <w:i/>
        </w:rPr>
        <w:t>a</w:t>
      </w:r>
      <w:r w:rsidR="00C52681" w:rsidRPr="00126A31">
        <w:rPr>
          <w:i/>
        </w:rPr>
        <w:t xml:space="preserve">  (izvori 31 i 43)</w:t>
      </w:r>
      <w:r w:rsidR="00CC59C9">
        <w:rPr>
          <w:i/>
        </w:rPr>
        <w:t xml:space="preserve"> </w:t>
      </w:r>
      <w:r w:rsidR="00C52681" w:rsidRPr="00126A31">
        <w:rPr>
          <w:i/>
        </w:rPr>
        <w:t>kao i prihod</w:t>
      </w:r>
      <w:r w:rsidR="005B27BE" w:rsidRPr="00126A31">
        <w:rPr>
          <w:i/>
        </w:rPr>
        <w:t>a</w:t>
      </w:r>
      <w:r w:rsidR="00C52681" w:rsidRPr="00126A31">
        <w:rPr>
          <w:i/>
        </w:rPr>
        <w:t xml:space="preserve"> </w:t>
      </w:r>
      <w:r w:rsidR="00DC2E04" w:rsidRPr="00126A31">
        <w:rPr>
          <w:i/>
        </w:rPr>
        <w:t xml:space="preserve">programa Unije </w:t>
      </w:r>
      <w:r w:rsidR="00C52681" w:rsidRPr="00126A31">
        <w:rPr>
          <w:i/>
        </w:rPr>
        <w:t xml:space="preserve"> (izvor 510) i pomoći (izvor </w:t>
      </w:r>
      <w:r w:rsidR="005B27BE" w:rsidRPr="00126A31">
        <w:rPr>
          <w:i/>
        </w:rPr>
        <w:t xml:space="preserve">5011 i </w:t>
      </w:r>
      <w:r w:rsidR="00C52681" w:rsidRPr="00126A31">
        <w:rPr>
          <w:i/>
        </w:rPr>
        <w:t>52), te donacij</w:t>
      </w:r>
      <w:r w:rsidR="005B27BE" w:rsidRPr="00126A31">
        <w:rPr>
          <w:i/>
        </w:rPr>
        <w:t>a</w:t>
      </w:r>
      <w:r w:rsidR="00C52681" w:rsidRPr="00126A31">
        <w:rPr>
          <w:i/>
        </w:rPr>
        <w:t xml:space="preserve"> (izvor 61) i  </w:t>
      </w:r>
      <w:r w:rsidR="005B27BE" w:rsidRPr="00126A31">
        <w:rPr>
          <w:i/>
        </w:rPr>
        <w:t>p</w:t>
      </w:r>
      <w:r w:rsidR="00C52681" w:rsidRPr="00126A31">
        <w:rPr>
          <w:i/>
        </w:rPr>
        <w:t>rihod</w:t>
      </w:r>
      <w:r w:rsidR="005B27BE" w:rsidRPr="00126A31">
        <w:rPr>
          <w:i/>
        </w:rPr>
        <w:t>a</w:t>
      </w:r>
      <w:r w:rsidR="00C52681" w:rsidRPr="00126A31">
        <w:rPr>
          <w:i/>
        </w:rPr>
        <w:t xml:space="preserve"> od prodaje ili zamjene nefinancijske imovine (izvor 71</w:t>
      </w:r>
      <w:r w:rsidR="00DC2E04" w:rsidRPr="00126A31">
        <w:rPr>
          <w:i/>
        </w:rPr>
        <w:t>.</w:t>
      </w:r>
      <w:r w:rsidR="00C52681" w:rsidRPr="00126A31">
        <w:rPr>
          <w:i/>
        </w:rPr>
        <w:t>)</w:t>
      </w:r>
      <w:r w:rsidR="00BD50FF" w:rsidRPr="00126A31">
        <w:rPr>
          <w:i/>
        </w:rPr>
        <w:t xml:space="preserve">  Dio rashoda namijenjen je sufinanciranju aktivnosti razvojne i izvedbene komponente programskog financiranja</w:t>
      </w:r>
    </w:p>
    <w:p w:rsidR="00BD50FF" w:rsidRPr="00126A31" w:rsidRDefault="00BD50FF" w:rsidP="00C51C46">
      <w:pPr>
        <w:jc w:val="both"/>
        <w:rPr>
          <w:i/>
        </w:rPr>
      </w:pPr>
    </w:p>
    <w:p w:rsidR="00C52681" w:rsidRPr="00126A31" w:rsidRDefault="00C52681" w:rsidP="00C51C46">
      <w:pPr>
        <w:jc w:val="both"/>
        <w:rPr>
          <w:i/>
        </w:rPr>
      </w:pPr>
    </w:p>
    <w:p w:rsidR="00C51C46" w:rsidRPr="00126A31" w:rsidRDefault="00C51C46" w:rsidP="00C51C46">
      <w:pPr>
        <w:jc w:val="both"/>
        <w:rPr>
          <w:i/>
        </w:rPr>
      </w:pPr>
    </w:p>
    <w:p w:rsidR="00C51C46" w:rsidRPr="00126A31" w:rsidRDefault="00C51C46" w:rsidP="00C51C46">
      <w:pPr>
        <w:jc w:val="both"/>
        <w:rPr>
          <w:i/>
        </w:rPr>
      </w:pPr>
      <w:r w:rsidRPr="00126A31">
        <w:rPr>
          <w:i/>
        </w:rPr>
        <w:t>Izračun financijskog plana:</w:t>
      </w:r>
    </w:p>
    <w:p w:rsidR="00C51C46" w:rsidRPr="00126A31" w:rsidRDefault="00DC2E04" w:rsidP="00C52681">
      <w:pPr>
        <w:pStyle w:val="ListParagraph"/>
        <w:numPr>
          <w:ilvl w:val="0"/>
          <w:numId w:val="34"/>
        </w:numPr>
        <w:jc w:val="both"/>
        <w:rPr>
          <w:i/>
        </w:rPr>
      </w:pPr>
      <w:r w:rsidRPr="00126A31">
        <w:rPr>
          <w:i/>
        </w:rPr>
        <w:t>Rashodi financirani iz v</w:t>
      </w:r>
      <w:r w:rsidR="00C52681" w:rsidRPr="00126A31">
        <w:rPr>
          <w:i/>
        </w:rPr>
        <w:t>lastiti</w:t>
      </w:r>
      <w:r w:rsidRPr="00126A31">
        <w:rPr>
          <w:i/>
        </w:rPr>
        <w:t>h</w:t>
      </w:r>
      <w:r w:rsidR="00C52681" w:rsidRPr="00126A31">
        <w:rPr>
          <w:i/>
        </w:rPr>
        <w:t xml:space="preserve"> prihod</w:t>
      </w:r>
      <w:r w:rsidRPr="00126A31">
        <w:rPr>
          <w:i/>
        </w:rPr>
        <w:t>a</w:t>
      </w:r>
      <w:r w:rsidR="00C52681" w:rsidRPr="00126A31">
        <w:rPr>
          <w:i/>
        </w:rPr>
        <w:t xml:space="preserve"> (izvor 31) planirani su u visini </w:t>
      </w:r>
      <w:r w:rsidRPr="00126A31">
        <w:rPr>
          <w:i/>
        </w:rPr>
        <w:t>od 482.393 EUR u 2026. godini, 490.147 EUR u 2027. godini te u visini od 490.147 EUR u 2028. godini</w:t>
      </w:r>
    </w:p>
    <w:p w:rsidR="00DC2E04" w:rsidRPr="00126A31" w:rsidRDefault="00DC2E04" w:rsidP="00DC2E04">
      <w:pPr>
        <w:pStyle w:val="ListParagraph"/>
        <w:numPr>
          <w:ilvl w:val="0"/>
          <w:numId w:val="34"/>
        </w:numPr>
        <w:jc w:val="both"/>
        <w:rPr>
          <w:i/>
        </w:rPr>
      </w:pPr>
      <w:r w:rsidRPr="00126A31">
        <w:rPr>
          <w:i/>
        </w:rPr>
        <w:t>Rashodi financirani iz ostalih prihoda za posebne namjene  (izvor 43) planirani su u visini od 1.482.55</w:t>
      </w:r>
      <w:r w:rsidR="0047648B">
        <w:rPr>
          <w:i/>
        </w:rPr>
        <w:t>6</w:t>
      </w:r>
      <w:r w:rsidRPr="00126A31">
        <w:rPr>
          <w:i/>
        </w:rPr>
        <w:t xml:space="preserve"> EUR u 2026. godini pri čemu se dio od 308.000 EUR financira iz prenesenog viška; u visini od 1.234.55</w:t>
      </w:r>
      <w:r w:rsidR="0047648B">
        <w:rPr>
          <w:i/>
        </w:rPr>
        <w:t>6</w:t>
      </w:r>
      <w:r w:rsidRPr="00126A31">
        <w:rPr>
          <w:i/>
        </w:rPr>
        <w:t xml:space="preserve"> EUR u 2027. godini te u visini od 1.384.556 EUR u 2028. godini</w:t>
      </w:r>
    </w:p>
    <w:p w:rsidR="00DC2E04" w:rsidRPr="00126A31" w:rsidRDefault="00DC2E04" w:rsidP="00C52681">
      <w:pPr>
        <w:pStyle w:val="ListParagraph"/>
        <w:numPr>
          <w:ilvl w:val="0"/>
          <w:numId w:val="34"/>
        </w:numPr>
        <w:jc w:val="both"/>
        <w:rPr>
          <w:i/>
        </w:rPr>
      </w:pPr>
      <w:r w:rsidRPr="00126A31">
        <w:rPr>
          <w:i/>
        </w:rPr>
        <w:t>Rashodi financirani iz Programa Unije (izvor 510)</w:t>
      </w:r>
      <w:r w:rsidR="005B27BE" w:rsidRPr="00126A31">
        <w:rPr>
          <w:i/>
        </w:rPr>
        <w:t xml:space="preserve"> planirani su u visini od 322.274 EUR u 2026. godini, 57.923 EUR u 2027. godini. U 2028. godini nije planiran rashod po osnovu ovog izvora.</w:t>
      </w:r>
    </w:p>
    <w:p w:rsidR="005B27BE" w:rsidRPr="00126A31" w:rsidRDefault="005B27BE" w:rsidP="005B27BE">
      <w:pPr>
        <w:pStyle w:val="ListParagraph"/>
        <w:numPr>
          <w:ilvl w:val="0"/>
          <w:numId w:val="34"/>
        </w:numPr>
        <w:jc w:val="both"/>
        <w:rPr>
          <w:i/>
        </w:rPr>
      </w:pPr>
      <w:r w:rsidRPr="00126A31">
        <w:rPr>
          <w:i/>
        </w:rPr>
        <w:t xml:space="preserve">Rashodi financirani iz Pomoći iz državnog proračuna kroz opće prihode i primitke (izvor 5011) planirani su u visini od </w:t>
      </w:r>
      <w:r w:rsidR="0047648B">
        <w:rPr>
          <w:i/>
        </w:rPr>
        <w:t>62.299</w:t>
      </w:r>
      <w:r w:rsidRPr="00126A31">
        <w:rPr>
          <w:i/>
        </w:rPr>
        <w:t xml:space="preserve"> EUR u 2026. godini, </w:t>
      </w:r>
      <w:r w:rsidR="0047648B">
        <w:rPr>
          <w:i/>
        </w:rPr>
        <w:t>54.645</w:t>
      </w:r>
      <w:r w:rsidRPr="00126A31">
        <w:rPr>
          <w:i/>
        </w:rPr>
        <w:t xml:space="preserve"> EUR u 2027. godini te u visini od </w:t>
      </w:r>
      <w:r w:rsidR="0047648B">
        <w:rPr>
          <w:i/>
        </w:rPr>
        <w:t>19.815</w:t>
      </w:r>
      <w:r w:rsidRPr="00126A31">
        <w:rPr>
          <w:i/>
        </w:rPr>
        <w:t xml:space="preserve"> EUR u 2028. godini</w:t>
      </w:r>
    </w:p>
    <w:p w:rsidR="005B27BE" w:rsidRPr="00126A31" w:rsidRDefault="005B27BE" w:rsidP="005B27BE">
      <w:pPr>
        <w:pStyle w:val="ListParagraph"/>
        <w:numPr>
          <w:ilvl w:val="0"/>
          <w:numId w:val="34"/>
        </w:numPr>
        <w:jc w:val="both"/>
        <w:rPr>
          <w:i/>
        </w:rPr>
      </w:pPr>
      <w:r w:rsidRPr="00126A31">
        <w:rPr>
          <w:i/>
        </w:rPr>
        <w:t>Rashodi financirani iz ostalih pomoći  (izvor 52) planirani su u visini od 360.055 EUR u 2026. godini, 271.055 EUR u 2027. godini te u visini od 2</w:t>
      </w:r>
      <w:r w:rsidR="0047648B">
        <w:rPr>
          <w:i/>
        </w:rPr>
        <w:t>2</w:t>
      </w:r>
      <w:r w:rsidRPr="00126A31">
        <w:rPr>
          <w:i/>
        </w:rPr>
        <w:t>9.055 EUR u 2028. godini</w:t>
      </w:r>
    </w:p>
    <w:p w:rsidR="005B27BE" w:rsidRPr="00126A31" w:rsidRDefault="005B27BE" w:rsidP="005B27BE">
      <w:pPr>
        <w:pStyle w:val="ListParagraph"/>
        <w:numPr>
          <w:ilvl w:val="0"/>
          <w:numId w:val="34"/>
        </w:numPr>
        <w:jc w:val="both"/>
        <w:rPr>
          <w:i/>
        </w:rPr>
      </w:pPr>
      <w:r w:rsidRPr="00126A31">
        <w:rPr>
          <w:i/>
        </w:rPr>
        <w:t>Rashodi financirani iz donacija (izvor 61) planirani su u visini od 19.574 EUR godišnje  za  sve tri godine u razdoblju od 2026. do 2028.  godine</w:t>
      </w:r>
    </w:p>
    <w:p w:rsidR="005B27BE" w:rsidRPr="00126A31" w:rsidRDefault="005B27BE" w:rsidP="00860A6E">
      <w:pPr>
        <w:pStyle w:val="ListParagraph"/>
        <w:numPr>
          <w:ilvl w:val="0"/>
          <w:numId w:val="34"/>
        </w:numPr>
        <w:jc w:val="both"/>
        <w:rPr>
          <w:i/>
        </w:rPr>
      </w:pPr>
      <w:r w:rsidRPr="00126A31">
        <w:rPr>
          <w:i/>
        </w:rPr>
        <w:t>Rashodi financirani iz Prihoda od prodaje ili zamjene nefinancijske imovine  (izvor 71) planirani su u visini od 3.385 EUR u sve tri godine u razdoblju od 2026. do 2028.  godine</w:t>
      </w:r>
      <w:r w:rsidR="00BD50FF" w:rsidRPr="00126A31">
        <w:rPr>
          <w:i/>
        </w:rPr>
        <w:t>.</w:t>
      </w:r>
    </w:p>
    <w:p w:rsidR="005B27BE" w:rsidRDefault="005B27BE" w:rsidP="00BD50FF">
      <w:pPr>
        <w:jc w:val="both"/>
        <w:rPr>
          <w:i/>
          <w:highlight w:val="cyan"/>
        </w:rPr>
      </w:pPr>
    </w:p>
    <w:p w:rsidR="00BD50FF" w:rsidRDefault="00BD50FF" w:rsidP="00BD50FF">
      <w:pPr>
        <w:jc w:val="both"/>
        <w:rPr>
          <w:i/>
        </w:rPr>
      </w:pPr>
      <w:r>
        <w:rPr>
          <w:i/>
        </w:rPr>
        <w:t>Dio navedenih planiranih rashoda namijenjen je sufinanciranju aktivnosti razvojne i izvedbene komponente programskog financiranja i to u visini od 107.578 u 2026. godini, 100.275 u 2027. godini i 105.955 u 2028. godini.</w:t>
      </w:r>
    </w:p>
    <w:p w:rsidR="00BD50FF" w:rsidRDefault="00BD50FF" w:rsidP="00BD50FF">
      <w:pPr>
        <w:jc w:val="both"/>
        <w:rPr>
          <w:i/>
        </w:rPr>
      </w:pPr>
    </w:p>
    <w:p w:rsidR="00AA43D1" w:rsidRDefault="00AA43D1" w:rsidP="00AA43D1">
      <w:pPr>
        <w:pStyle w:val="ListParagraph"/>
        <w:jc w:val="both"/>
        <w:rPr>
          <w:rFonts w:ascii="Times New Roman" w:hAnsi="Times New Roman" w:cs="Times New Roman"/>
          <w:i/>
        </w:rPr>
      </w:pPr>
    </w:p>
    <w:p w:rsidR="00AA43D1" w:rsidRDefault="00AA43D1" w:rsidP="00AA43D1">
      <w:pPr>
        <w:pStyle w:val="ListParagraph"/>
        <w:jc w:val="both"/>
        <w:rPr>
          <w:rFonts w:ascii="Times New Roman" w:hAnsi="Times New Roman" w:cs="Times New Roman"/>
          <w:i/>
        </w:rPr>
      </w:pPr>
    </w:p>
    <w:p w:rsidR="00AA43D1" w:rsidRDefault="00AA43D1" w:rsidP="00AA43D1">
      <w:pPr>
        <w:pStyle w:val="ListParagraph"/>
        <w:jc w:val="both"/>
        <w:rPr>
          <w:rFonts w:ascii="Times New Roman" w:hAnsi="Times New Roman" w:cs="Times New Roman"/>
          <w:i/>
        </w:rPr>
      </w:pPr>
      <w:r>
        <w:rPr>
          <w:rFonts w:ascii="Times New Roman" w:hAnsi="Times New Roman" w:cs="Times New Roman"/>
          <w:i/>
        </w:rPr>
        <w:t>Nastavno su prikazani ciljevi  i očekivani rezultati u predstojećem planskom razdoblju:</w:t>
      </w:r>
    </w:p>
    <w:p w:rsidR="005D0F57" w:rsidRDefault="005D0F57" w:rsidP="005D0F57">
      <w:pPr>
        <w:jc w:val="both"/>
        <w:rPr>
          <w:i/>
        </w:rPr>
      </w:pPr>
    </w:p>
    <w:tbl>
      <w:tblPr>
        <w:tblW w:w="9780" w:type="dxa"/>
        <w:jc w:val="center"/>
        <w:tblCellMar>
          <w:left w:w="0" w:type="dxa"/>
          <w:right w:w="0" w:type="dxa"/>
        </w:tblCellMar>
        <w:tblLook w:val="04A0" w:firstRow="1" w:lastRow="0" w:firstColumn="1" w:lastColumn="0" w:noHBand="0" w:noVBand="1"/>
      </w:tblPr>
      <w:tblGrid>
        <w:gridCol w:w="1423"/>
        <w:gridCol w:w="1766"/>
        <w:gridCol w:w="2243"/>
        <w:gridCol w:w="885"/>
        <w:gridCol w:w="970"/>
        <w:gridCol w:w="831"/>
        <w:gridCol w:w="831"/>
        <w:gridCol w:w="831"/>
      </w:tblGrid>
      <w:tr w:rsidR="005D0F57" w:rsidTr="002525DA">
        <w:trPr>
          <w:jc w:val="center"/>
        </w:trPr>
        <w:tc>
          <w:tcPr>
            <w:tcW w:w="1423" w:type="dxa"/>
            <w:tcBorders>
              <w:top w:val="single" w:sz="8" w:space="0" w:color="auto"/>
              <w:left w:val="single" w:sz="8" w:space="0" w:color="auto"/>
              <w:bottom w:val="single" w:sz="8" w:space="0" w:color="auto"/>
              <w:right w:val="single" w:sz="8" w:space="0" w:color="auto"/>
            </w:tcBorders>
            <w:shd w:val="clear" w:color="auto" w:fill="D0CECE"/>
            <w:vAlign w:val="center"/>
            <w:hideMark/>
          </w:tcPr>
          <w:p w:rsidR="005D0F57" w:rsidRDefault="005D0F57" w:rsidP="002525DA">
            <w:pPr>
              <w:rPr>
                <w:sz w:val="20"/>
                <w:szCs w:val="20"/>
                <w:lang w:eastAsia="en-US"/>
              </w:rPr>
            </w:pPr>
            <w:r>
              <w:rPr>
                <w:sz w:val="20"/>
                <w:szCs w:val="20"/>
              </w:rPr>
              <w:t>Pokazatelj rezultata</w:t>
            </w:r>
          </w:p>
        </w:tc>
        <w:tc>
          <w:tcPr>
            <w:tcW w:w="1766" w:type="dxa"/>
            <w:tcBorders>
              <w:top w:val="single" w:sz="8" w:space="0" w:color="auto"/>
              <w:left w:val="nil"/>
              <w:bottom w:val="single" w:sz="8" w:space="0" w:color="auto"/>
              <w:right w:val="single" w:sz="8" w:space="0" w:color="auto"/>
            </w:tcBorders>
            <w:shd w:val="clear" w:color="auto" w:fill="D0CECE"/>
            <w:vAlign w:val="center"/>
            <w:hideMark/>
          </w:tcPr>
          <w:p w:rsidR="005D0F57" w:rsidRDefault="005D0F57" w:rsidP="002525DA">
            <w:pPr>
              <w:jc w:val="center"/>
              <w:rPr>
                <w:rFonts w:ascii="Calibri" w:hAnsi="Calibri" w:cs="Calibri"/>
                <w:sz w:val="20"/>
                <w:szCs w:val="20"/>
              </w:rPr>
            </w:pPr>
            <w:r>
              <w:rPr>
                <w:sz w:val="20"/>
                <w:szCs w:val="20"/>
              </w:rPr>
              <w:t>Definicija</w:t>
            </w:r>
          </w:p>
        </w:tc>
        <w:tc>
          <w:tcPr>
            <w:tcW w:w="2243" w:type="dxa"/>
            <w:tcBorders>
              <w:top w:val="single" w:sz="8" w:space="0" w:color="auto"/>
              <w:left w:val="nil"/>
              <w:bottom w:val="single" w:sz="8" w:space="0" w:color="auto"/>
              <w:right w:val="single" w:sz="8" w:space="0" w:color="auto"/>
            </w:tcBorders>
            <w:shd w:val="clear" w:color="auto" w:fill="D0CECE"/>
            <w:vAlign w:val="center"/>
            <w:hideMark/>
          </w:tcPr>
          <w:p w:rsidR="005D0F57" w:rsidRDefault="005D0F57" w:rsidP="002525DA">
            <w:pPr>
              <w:jc w:val="center"/>
              <w:rPr>
                <w:sz w:val="20"/>
                <w:szCs w:val="20"/>
              </w:rPr>
            </w:pPr>
            <w:r>
              <w:rPr>
                <w:sz w:val="20"/>
                <w:szCs w:val="20"/>
              </w:rPr>
              <w:t>Jedinica</w:t>
            </w:r>
          </w:p>
        </w:tc>
        <w:tc>
          <w:tcPr>
            <w:tcW w:w="885" w:type="dxa"/>
            <w:tcBorders>
              <w:top w:val="single" w:sz="8" w:space="0" w:color="auto"/>
              <w:left w:val="nil"/>
              <w:bottom w:val="single" w:sz="8" w:space="0" w:color="auto"/>
              <w:right w:val="single" w:sz="8" w:space="0" w:color="auto"/>
            </w:tcBorders>
            <w:shd w:val="clear" w:color="auto" w:fill="D0CECE"/>
            <w:vAlign w:val="center"/>
            <w:hideMark/>
          </w:tcPr>
          <w:p w:rsidR="005D0F57" w:rsidRDefault="005D0F57" w:rsidP="002525DA">
            <w:pPr>
              <w:jc w:val="center"/>
              <w:rPr>
                <w:sz w:val="20"/>
                <w:szCs w:val="20"/>
              </w:rPr>
            </w:pPr>
            <w:r>
              <w:rPr>
                <w:sz w:val="20"/>
                <w:szCs w:val="20"/>
              </w:rPr>
              <w:t>Polazna vrijednost</w:t>
            </w:r>
          </w:p>
        </w:tc>
        <w:tc>
          <w:tcPr>
            <w:tcW w:w="970" w:type="dxa"/>
            <w:tcBorders>
              <w:top w:val="single" w:sz="8" w:space="0" w:color="auto"/>
              <w:left w:val="nil"/>
              <w:bottom w:val="single" w:sz="8" w:space="0" w:color="auto"/>
              <w:right w:val="single" w:sz="8" w:space="0" w:color="auto"/>
            </w:tcBorders>
            <w:shd w:val="clear" w:color="auto" w:fill="D0CECE"/>
            <w:vAlign w:val="center"/>
            <w:hideMark/>
          </w:tcPr>
          <w:p w:rsidR="005D0F57" w:rsidRDefault="005D0F57" w:rsidP="002525DA">
            <w:pPr>
              <w:jc w:val="center"/>
              <w:rPr>
                <w:sz w:val="20"/>
                <w:szCs w:val="20"/>
              </w:rPr>
            </w:pPr>
            <w:r>
              <w:rPr>
                <w:sz w:val="20"/>
                <w:szCs w:val="20"/>
              </w:rPr>
              <w:t>Izvor podataka</w:t>
            </w:r>
          </w:p>
        </w:tc>
        <w:tc>
          <w:tcPr>
            <w:tcW w:w="831" w:type="dxa"/>
            <w:tcBorders>
              <w:top w:val="single" w:sz="8" w:space="0" w:color="auto"/>
              <w:left w:val="nil"/>
              <w:bottom w:val="single" w:sz="8" w:space="0" w:color="auto"/>
              <w:right w:val="single" w:sz="8" w:space="0" w:color="auto"/>
            </w:tcBorders>
            <w:shd w:val="clear" w:color="auto" w:fill="D0CECE"/>
            <w:vAlign w:val="center"/>
            <w:hideMark/>
          </w:tcPr>
          <w:p w:rsidR="005D0F57" w:rsidRDefault="005D0F57" w:rsidP="002525DA">
            <w:pPr>
              <w:jc w:val="center"/>
              <w:rPr>
                <w:sz w:val="20"/>
                <w:szCs w:val="20"/>
              </w:rPr>
            </w:pPr>
            <w:r>
              <w:rPr>
                <w:sz w:val="20"/>
                <w:szCs w:val="20"/>
              </w:rPr>
              <w:t>Ciljana vrijednost za 2026.</w:t>
            </w:r>
          </w:p>
        </w:tc>
        <w:tc>
          <w:tcPr>
            <w:tcW w:w="831" w:type="dxa"/>
            <w:tcBorders>
              <w:top w:val="single" w:sz="8" w:space="0" w:color="auto"/>
              <w:left w:val="nil"/>
              <w:bottom w:val="single" w:sz="8" w:space="0" w:color="auto"/>
              <w:right w:val="single" w:sz="8" w:space="0" w:color="auto"/>
            </w:tcBorders>
            <w:shd w:val="clear" w:color="auto" w:fill="D0CECE"/>
            <w:hideMark/>
          </w:tcPr>
          <w:p w:rsidR="005D0F57" w:rsidRDefault="005D0F57" w:rsidP="002525DA">
            <w:pPr>
              <w:jc w:val="center"/>
              <w:rPr>
                <w:sz w:val="20"/>
                <w:szCs w:val="20"/>
              </w:rPr>
            </w:pPr>
            <w:r>
              <w:rPr>
                <w:sz w:val="20"/>
                <w:szCs w:val="20"/>
              </w:rPr>
              <w:t>Ciljana vrijednost za 2027.</w:t>
            </w:r>
          </w:p>
        </w:tc>
        <w:tc>
          <w:tcPr>
            <w:tcW w:w="831" w:type="dxa"/>
            <w:tcBorders>
              <w:top w:val="single" w:sz="8" w:space="0" w:color="auto"/>
              <w:left w:val="nil"/>
              <w:bottom w:val="single" w:sz="8" w:space="0" w:color="auto"/>
              <w:right w:val="single" w:sz="8" w:space="0" w:color="auto"/>
            </w:tcBorders>
            <w:shd w:val="clear" w:color="auto" w:fill="D0CECE"/>
            <w:hideMark/>
          </w:tcPr>
          <w:p w:rsidR="005D0F57" w:rsidRDefault="005D0F57" w:rsidP="002525DA">
            <w:pPr>
              <w:jc w:val="center"/>
              <w:rPr>
                <w:sz w:val="20"/>
                <w:szCs w:val="20"/>
              </w:rPr>
            </w:pPr>
            <w:r>
              <w:rPr>
                <w:sz w:val="20"/>
                <w:szCs w:val="20"/>
              </w:rPr>
              <w:t>Ciljana vrijednost za 2028.</w:t>
            </w:r>
          </w:p>
        </w:tc>
      </w:tr>
      <w:tr w:rsidR="005D0F57" w:rsidTr="002525DA">
        <w:trPr>
          <w:jc w:val="center"/>
        </w:trPr>
        <w:tc>
          <w:tcPr>
            <w:tcW w:w="1423" w:type="dxa"/>
            <w:tcBorders>
              <w:top w:val="nil"/>
              <w:left w:val="single" w:sz="8" w:space="0" w:color="auto"/>
              <w:bottom w:val="nil"/>
              <w:right w:val="single" w:sz="8" w:space="0" w:color="auto"/>
            </w:tcBorders>
            <w:vAlign w:val="center"/>
          </w:tcPr>
          <w:p w:rsidR="005D0F57" w:rsidRDefault="005D0F57" w:rsidP="002525DA">
            <w:pPr>
              <w:jc w:val="center"/>
              <w:rPr>
                <w:i/>
                <w:iCs/>
                <w:sz w:val="20"/>
                <w:szCs w:val="20"/>
              </w:rPr>
            </w:pPr>
          </w:p>
        </w:tc>
        <w:tc>
          <w:tcPr>
            <w:tcW w:w="1766" w:type="dxa"/>
            <w:tcBorders>
              <w:top w:val="nil"/>
              <w:left w:val="nil"/>
              <w:bottom w:val="nil"/>
              <w:right w:val="single" w:sz="8" w:space="0" w:color="auto"/>
            </w:tcBorders>
            <w:vAlign w:val="center"/>
          </w:tcPr>
          <w:p w:rsidR="005D0F57" w:rsidRPr="00B74DCA" w:rsidRDefault="005D0F57" w:rsidP="002525DA">
            <w:pPr>
              <w:jc w:val="center"/>
              <w:rPr>
                <w:i/>
                <w:sz w:val="20"/>
              </w:rPr>
            </w:pPr>
          </w:p>
        </w:tc>
        <w:tc>
          <w:tcPr>
            <w:tcW w:w="2243" w:type="dxa"/>
            <w:tcBorders>
              <w:top w:val="nil"/>
              <w:left w:val="nil"/>
              <w:bottom w:val="nil"/>
              <w:right w:val="single" w:sz="8" w:space="0" w:color="auto"/>
            </w:tcBorders>
            <w:vAlign w:val="center"/>
          </w:tcPr>
          <w:p w:rsidR="005D0F57" w:rsidRDefault="005D0F57" w:rsidP="002525DA">
            <w:pPr>
              <w:jc w:val="center"/>
              <w:rPr>
                <w:i/>
                <w:iCs/>
                <w:sz w:val="20"/>
                <w:szCs w:val="20"/>
              </w:rPr>
            </w:pPr>
          </w:p>
        </w:tc>
        <w:tc>
          <w:tcPr>
            <w:tcW w:w="885" w:type="dxa"/>
            <w:tcBorders>
              <w:top w:val="nil"/>
              <w:left w:val="nil"/>
              <w:bottom w:val="nil"/>
              <w:right w:val="single" w:sz="8" w:space="0" w:color="auto"/>
            </w:tcBorders>
            <w:vAlign w:val="center"/>
          </w:tcPr>
          <w:p w:rsidR="005D0F57" w:rsidRDefault="005D0F57" w:rsidP="002525DA">
            <w:pPr>
              <w:jc w:val="center"/>
              <w:rPr>
                <w:i/>
                <w:iCs/>
                <w:sz w:val="20"/>
                <w:szCs w:val="20"/>
              </w:rPr>
            </w:pPr>
          </w:p>
        </w:tc>
        <w:tc>
          <w:tcPr>
            <w:tcW w:w="970" w:type="dxa"/>
            <w:tcBorders>
              <w:top w:val="nil"/>
              <w:left w:val="nil"/>
              <w:bottom w:val="nil"/>
              <w:right w:val="single" w:sz="8" w:space="0" w:color="auto"/>
            </w:tcBorders>
            <w:vAlign w:val="center"/>
          </w:tcPr>
          <w:p w:rsidR="005D0F57" w:rsidRDefault="005D0F57" w:rsidP="002525DA">
            <w:pPr>
              <w:jc w:val="center"/>
              <w:rPr>
                <w:i/>
                <w:iCs/>
                <w:sz w:val="20"/>
                <w:szCs w:val="20"/>
              </w:rPr>
            </w:pPr>
          </w:p>
        </w:tc>
        <w:tc>
          <w:tcPr>
            <w:tcW w:w="831" w:type="dxa"/>
            <w:tcBorders>
              <w:top w:val="nil"/>
              <w:left w:val="nil"/>
              <w:bottom w:val="nil"/>
              <w:right w:val="single" w:sz="8" w:space="0" w:color="auto"/>
            </w:tcBorders>
            <w:vAlign w:val="center"/>
          </w:tcPr>
          <w:p w:rsidR="005D0F57" w:rsidRDefault="005D0F57" w:rsidP="002525DA">
            <w:pPr>
              <w:jc w:val="center"/>
              <w:rPr>
                <w:i/>
                <w:iCs/>
              </w:rPr>
            </w:pPr>
          </w:p>
        </w:tc>
        <w:tc>
          <w:tcPr>
            <w:tcW w:w="831" w:type="dxa"/>
            <w:tcBorders>
              <w:top w:val="nil"/>
              <w:left w:val="nil"/>
              <w:bottom w:val="nil"/>
              <w:right w:val="single" w:sz="8" w:space="0" w:color="auto"/>
            </w:tcBorders>
            <w:vAlign w:val="center"/>
          </w:tcPr>
          <w:p w:rsidR="005D0F57" w:rsidRDefault="005D0F57" w:rsidP="002525DA">
            <w:pPr>
              <w:jc w:val="center"/>
              <w:rPr>
                <w:i/>
                <w:iCs/>
                <w:sz w:val="22"/>
                <w:szCs w:val="22"/>
              </w:rPr>
            </w:pPr>
          </w:p>
        </w:tc>
        <w:tc>
          <w:tcPr>
            <w:tcW w:w="831" w:type="dxa"/>
            <w:tcBorders>
              <w:top w:val="nil"/>
              <w:left w:val="nil"/>
              <w:bottom w:val="nil"/>
              <w:right w:val="single" w:sz="8" w:space="0" w:color="auto"/>
            </w:tcBorders>
            <w:vAlign w:val="center"/>
          </w:tcPr>
          <w:p w:rsidR="005D0F57" w:rsidRDefault="005D0F57" w:rsidP="002525DA">
            <w:pPr>
              <w:jc w:val="center"/>
              <w:rPr>
                <w:i/>
                <w:iCs/>
              </w:rPr>
            </w:pPr>
          </w:p>
        </w:tc>
      </w:tr>
      <w:tr w:rsidR="005D0F57" w:rsidTr="002525DA">
        <w:trPr>
          <w:jc w:val="center"/>
        </w:trPr>
        <w:tc>
          <w:tcPr>
            <w:tcW w:w="1423" w:type="dxa"/>
            <w:tcBorders>
              <w:top w:val="nil"/>
              <w:left w:val="single" w:sz="8" w:space="0" w:color="auto"/>
              <w:bottom w:val="nil"/>
              <w:right w:val="single" w:sz="8" w:space="0" w:color="auto"/>
            </w:tcBorders>
            <w:vAlign w:val="center"/>
          </w:tcPr>
          <w:p w:rsidR="005D0F57" w:rsidRDefault="005D0F57" w:rsidP="002525DA">
            <w:pPr>
              <w:jc w:val="center"/>
              <w:rPr>
                <w:i/>
                <w:iCs/>
                <w:sz w:val="20"/>
                <w:szCs w:val="20"/>
              </w:rPr>
            </w:pPr>
          </w:p>
          <w:p w:rsidR="005D0F57" w:rsidRDefault="005D0F57" w:rsidP="002525DA">
            <w:pPr>
              <w:jc w:val="center"/>
              <w:rPr>
                <w:i/>
                <w:iCs/>
                <w:sz w:val="20"/>
                <w:szCs w:val="20"/>
              </w:rPr>
            </w:pPr>
          </w:p>
          <w:p w:rsidR="005D0F57" w:rsidRDefault="005D0F57" w:rsidP="002525DA">
            <w:pPr>
              <w:jc w:val="center"/>
              <w:rPr>
                <w:i/>
                <w:iCs/>
                <w:sz w:val="20"/>
                <w:szCs w:val="20"/>
              </w:rPr>
            </w:pPr>
          </w:p>
          <w:p w:rsidR="005D0F57" w:rsidRPr="00B85ECF" w:rsidRDefault="005D0F57" w:rsidP="002525DA">
            <w:pPr>
              <w:jc w:val="center"/>
              <w:rPr>
                <w:i/>
                <w:sz w:val="20"/>
              </w:rPr>
            </w:pPr>
          </w:p>
          <w:p w:rsidR="005D0F57" w:rsidRPr="00B85ECF" w:rsidRDefault="005D0F57" w:rsidP="002525DA">
            <w:pPr>
              <w:jc w:val="center"/>
              <w:rPr>
                <w:i/>
                <w:sz w:val="20"/>
              </w:rPr>
            </w:pPr>
            <w:r w:rsidRPr="00B85ECF">
              <w:rPr>
                <w:i/>
                <w:sz w:val="20"/>
              </w:rPr>
              <w:t>Broj nastavnika koji sudjeluju u međunarodnoj razmjeni</w:t>
            </w:r>
          </w:p>
          <w:p w:rsidR="005D0F57" w:rsidRDefault="005D0F57" w:rsidP="002525DA">
            <w:pPr>
              <w:jc w:val="center"/>
              <w:rPr>
                <w:i/>
                <w:iCs/>
                <w:sz w:val="20"/>
                <w:szCs w:val="20"/>
              </w:rPr>
            </w:pPr>
          </w:p>
          <w:p w:rsidR="005D0F57" w:rsidRDefault="005D0F57" w:rsidP="002525DA">
            <w:pPr>
              <w:jc w:val="center"/>
              <w:rPr>
                <w:i/>
                <w:iCs/>
                <w:sz w:val="20"/>
                <w:szCs w:val="20"/>
              </w:rPr>
            </w:pPr>
          </w:p>
          <w:p w:rsidR="005D0F57" w:rsidRDefault="005D0F57" w:rsidP="002525DA">
            <w:pPr>
              <w:jc w:val="center"/>
              <w:rPr>
                <w:i/>
                <w:iCs/>
                <w:sz w:val="20"/>
                <w:szCs w:val="20"/>
              </w:rPr>
            </w:pPr>
          </w:p>
          <w:p w:rsidR="005D0F57" w:rsidRDefault="005D0F57" w:rsidP="002525DA">
            <w:pPr>
              <w:jc w:val="center"/>
              <w:rPr>
                <w:i/>
                <w:iCs/>
                <w:sz w:val="20"/>
                <w:szCs w:val="20"/>
              </w:rPr>
            </w:pPr>
          </w:p>
          <w:p w:rsidR="005D0F57" w:rsidRDefault="005D0F57" w:rsidP="002525DA">
            <w:pPr>
              <w:jc w:val="center"/>
              <w:rPr>
                <w:i/>
                <w:iCs/>
                <w:sz w:val="20"/>
                <w:szCs w:val="20"/>
              </w:rPr>
            </w:pPr>
          </w:p>
          <w:p w:rsidR="005D0F57" w:rsidRDefault="005D0F57" w:rsidP="002525DA">
            <w:pPr>
              <w:jc w:val="center"/>
              <w:rPr>
                <w:i/>
                <w:iCs/>
                <w:sz w:val="20"/>
                <w:szCs w:val="20"/>
              </w:rPr>
            </w:pPr>
          </w:p>
        </w:tc>
        <w:tc>
          <w:tcPr>
            <w:tcW w:w="1766" w:type="dxa"/>
            <w:tcBorders>
              <w:top w:val="nil"/>
              <w:left w:val="nil"/>
              <w:bottom w:val="nil"/>
              <w:right w:val="single" w:sz="8" w:space="0" w:color="auto"/>
            </w:tcBorders>
            <w:vAlign w:val="center"/>
          </w:tcPr>
          <w:p w:rsidR="005D0F57" w:rsidRDefault="005D0F57" w:rsidP="002525DA">
            <w:pPr>
              <w:jc w:val="center"/>
              <w:rPr>
                <w:i/>
                <w:sz w:val="20"/>
              </w:rPr>
            </w:pPr>
            <w:r w:rsidRPr="00B74DCA">
              <w:rPr>
                <w:i/>
                <w:sz w:val="20"/>
              </w:rPr>
              <w:lastRenderedPageBreak/>
              <w:t xml:space="preserve">Poticanje međunarodne mobilnosti i međunarodne međuinstitucionalne suradnje kroz sufinanciranje odlazne i dolazne međunarodne mobilnosti nastavnika ili suradnika koja </w:t>
            </w:r>
            <w:r w:rsidRPr="00B74DCA">
              <w:rPr>
                <w:i/>
                <w:sz w:val="20"/>
              </w:rPr>
              <w:lastRenderedPageBreak/>
              <w:t>uključuje održavanje nastave na inozemnom visokom učilištu</w:t>
            </w:r>
          </w:p>
          <w:p w:rsidR="0061564F" w:rsidRDefault="0061564F" w:rsidP="002525DA">
            <w:pPr>
              <w:jc w:val="center"/>
              <w:rPr>
                <w:i/>
                <w:iCs/>
                <w:sz w:val="20"/>
                <w:szCs w:val="20"/>
              </w:rPr>
            </w:pPr>
          </w:p>
          <w:p w:rsidR="0061564F" w:rsidRDefault="0061564F" w:rsidP="002525DA">
            <w:pPr>
              <w:jc w:val="center"/>
              <w:rPr>
                <w:i/>
                <w:iCs/>
                <w:sz w:val="20"/>
                <w:szCs w:val="20"/>
              </w:rPr>
            </w:pPr>
          </w:p>
          <w:p w:rsidR="0061564F" w:rsidRDefault="0061564F" w:rsidP="0061564F">
            <w:pPr>
              <w:rPr>
                <w:i/>
                <w:iCs/>
                <w:sz w:val="20"/>
                <w:szCs w:val="20"/>
              </w:rPr>
            </w:pPr>
          </w:p>
        </w:tc>
        <w:tc>
          <w:tcPr>
            <w:tcW w:w="2243" w:type="dxa"/>
            <w:tcBorders>
              <w:top w:val="nil"/>
              <w:left w:val="nil"/>
              <w:bottom w:val="nil"/>
              <w:right w:val="single" w:sz="8" w:space="0" w:color="auto"/>
            </w:tcBorders>
            <w:vAlign w:val="center"/>
          </w:tcPr>
          <w:p w:rsidR="005D0F57" w:rsidRDefault="005D0F57" w:rsidP="002525DA">
            <w:pPr>
              <w:jc w:val="center"/>
              <w:rPr>
                <w:i/>
                <w:iCs/>
                <w:sz w:val="20"/>
                <w:szCs w:val="20"/>
              </w:rPr>
            </w:pPr>
            <w:r>
              <w:rPr>
                <w:i/>
                <w:iCs/>
                <w:sz w:val="20"/>
                <w:szCs w:val="20"/>
              </w:rPr>
              <w:lastRenderedPageBreak/>
              <w:t>Nastavnik/suradnik</w:t>
            </w:r>
          </w:p>
        </w:tc>
        <w:tc>
          <w:tcPr>
            <w:tcW w:w="885" w:type="dxa"/>
            <w:tcBorders>
              <w:top w:val="nil"/>
              <w:left w:val="nil"/>
              <w:bottom w:val="nil"/>
              <w:right w:val="single" w:sz="8" w:space="0" w:color="auto"/>
            </w:tcBorders>
            <w:vAlign w:val="center"/>
          </w:tcPr>
          <w:p w:rsidR="005D0F57" w:rsidRDefault="005D0F57" w:rsidP="002525DA">
            <w:pPr>
              <w:jc w:val="center"/>
              <w:rPr>
                <w:i/>
                <w:iCs/>
                <w:sz w:val="20"/>
                <w:szCs w:val="20"/>
              </w:rPr>
            </w:pPr>
            <w:r>
              <w:rPr>
                <w:i/>
                <w:iCs/>
                <w:sz w:val="20"/>
                <w:szCs w:val="20"/>
              </w:rPr>
              <w:t>22</w:t>
            </w:r>
          </w:p>
        </w:tc>
        <w:tc>
          <w:tcPr>
            <w:tcW w:w="970" w:type="dxa"/>
            <w:tcBorders>
              <w:top w:val="nil"/>
              <w:left w:val="nil"/>
              <w:bottom w:val="nil"/>
              <w:right w:val="single" w:sz="8" w:space="0" w:color="auto"/>
            </w:tcBorders>
            <w:vAlign w:val="center"/>
          </w:tcPr>
          <w:p w:rsidR="005D0F57" w:rsidRDefault="005D0F57" w:rsidP="002525DA">
            <w:pPr>
              <w:jc w:val="center"/>
              <w:rPr>
                <w:i/>
                <w:iCs/>
                <w:sz w:val="20"/>
                <w:szCs w:val="20"/>
              </w:rPr>
            </w:pPr>
            <w:r>
              <w:rPr>
                <w:i/>
                <w:iCs/>
                <w:sz w:val="20"/>
                <w:szCs w:val="20"/>
              </w:rPr>
              <w:t>Sveučilište</w:t>
            </w:r>
          </w:p>
        </w:tc>
        <w:tc>
          <w:tcPr>
            <w:tcW w:w="831" w:type="dxa"/>
            <w:tcBorders>
              <w:top w:val="nil"/>
              <w:left w:val="nil"/>
              <w:bottom w:val="nil"/>
              <w:right w:val="single" w:sz="8" w:space="0" w:color="auto"/>
            </w:tcBorders>
            <w:vAlign w:val="center"/>
          </w:tcPr>
          <w:p w:rsidR="005D0F57" w:rsidRDefault="005D0F57" w:rsidP="002525DA">
            <w:pPr>
              <w:jc w:val="center"/>
              <w:rPr>
                <w:i/>
                <w:iCs/>
              </w:rPr>
            </w:pPr>
            <w:r>
              <w:rPr>
                <w:i/>
                <w:iCs/>
              </w:rPr>
              <w:t>25</w:t>
            </w:r>
          </w:p>
        </w:tc>
        <w:tc>
          <w:tcPr>
            <w:tcW w:w="831" w:type="dxa"/>
            <w:tcBorders>
              <w:top w:val="nil"/>
              <w:left w:val="nil"/>
              <w:bottom w:val="nil"/>
              <w:right w:val="single" w:sz="8" w:space="0" w:color="auto"/>
            </w:tcBorders>
            <w:vAlign w:val="center"/>
          </w:tcPr>
          <w:p w:rsidR="005D0F57" w:rsidRDefault="005D0F57" w:rsidP="002525DA">
            <w:pPr>
              <w:jc w:val="center"/>
              <w:rPr>
                <w:i/>
                <w:iCs/>
                <w:sz w:val="22"/>
                <w:szCs w:val="22"/>
              </w:rPr>
            </w:pPr>
            <w:r>
              <w:rPr>
                <w:i/>
                <w:iCs/>
                <w:sz w:val="22"/>
                <w:szCs w:val="22"/>
              </w:rPr>
              <w:t>35</w:t>
            </w:r>
          </w:p>
        </w:tc>
        <w:tc>
          <w:tcPr>
            <w:tcW w:w="831" w:type="dxa"/>
            <w:tcBorders>
              <w:top w:val="nil"/>
              <w:left w:val="nil"/>
              <w:bottom w:val="nil"/>
              <w:right w:val="single" w:sz="8" w:space="0" w:color="auto"/>
            </w:tcBorders>
            <w:vAlign w:val="center"/>
          </w:tcPr>
          <w:p w:rsidR="005D0F57" w:rsidRDefault="005D0F57" w:rsidP="002525DA">
            <w:pPr>
              <w:jc w:val="center"/>
              <w:rPr>
                <w:i/>
                <w:iCs/>
              </w:rPr>
            </w:pPr>
            <w:r>
              <w:rPr>
                <w:i/>
                <w:iCs/>
              </w:rPr>
              <w:t>47</w:t>
            </w:r>
          </w:p>
        </w:tc>
      </w:tr>
      <w:tr w:rsidR="005D0F57" w:rsidTr="002525DA">
        <w:trPr>
          <w:jc w:val="center"/>
        </w:trPr>
        <w:tc>
          <w:tcPr>
            <w:tcW w:w="1423" w:type="dxa"/>
            <w:tcBorders>
              <w:top w:val="nil"/>
              <w:left w:val="single" w:sz="8" w:space="0" w:color="auto"/>
              <w:bottom w:val="single" w:sz="8" w:space="0" w:color="auto"/>
              <w:right w:val="single" w:sz="8" w:space="0" w:color="auto"/>
            </w:tcBorders>
            <w:vAlign w:val="center"/>
          </w:tcPr>
          <w:p w:rsidR="005D0F57" w:rsidRDefault="005D0F57" w:rsidP="002525DA">
            <w:pPr>
              <w:jc w:val="center"/>
              <w:rPr>
                <w:i/>
                <w:iCs/>
                <w:sz w:val="20"/>
                <w:szCs w:val="20"/>
              </w:rPr>
            </w:pPr>
          </w:p>
        </w:tc>
        <w:tc>
          <w:tcPr>
            <w:tcW w:w="1766" w:type="dxa"/>
            <w:tcBorders>
              <w:top w:val="nil"/>
              <w:left w:val="nil"/>
              <w:bottom w:val="single" w:sz="8" w:space="0" w:color="auto"/>
              <w:right w:val="single" w:sz="8" w:space="0" w:color="auto"/>
            </w:tcBorders>
            <w:vAlign w:val="center"/>
          </w:tcPr>
          <w:p w:rsidR="005D0F57" w:rsidRPr="00B74DCA" w:rsidRDefault="005D0F57" w:rsidP="002525DA">
            <w:pPr>
              <w:jc w:val="center"/>
              <w:rPr>
                <w:i/>
                <w:sz w:val="20"/>
              </w:rPr>
            </w:pPr>
          </w:p>
        </w:tc>
        <w:tc>
          <w:tcPr>
            <w:tcW w:w="2243"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p>
        </w:tc>
        <w:tc>
          <w:tcPr>
            <w:tcW w:w="885"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p>
        </w:tc>
        <w:tc>
          <w:tcPr>
            <w:tcW w:w="970"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sz w:val="22"/>
                <w:szCs w:val="22"/>
              </w:rPr>
            </w:pP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p>
        </w:tc>
      </w:tr>
      <w:tr w:rsidR="005D0F57" w:rsidTr="002525DA">
        <w:trPr>
          <w:jc w:val="center"/>
        </w:trPr>
        <w:tc>
          <w:tcPr>
            <w:tcW w:w="1423" w:type="dxa"/>
            <w:tcBorders>
              <w:top w:val="nil"/>
              <w:left w:val="single" w:sz="8" w:space="0" w:color="auto"/>
              <w:bottom w:val="single" w:sz="8" w:space="0" w:color="auto"/>
              <w:right w:val="single" w:sz="8" w:space="0" w:color="auto"/>
            </w:tcBorders>
            <w:vAlign w:val="center"/>
          </w:tcPr>
          <w:p w:rsidR="005D0F57" w:rsidRPr="00B85ECF" w:rsidRDefault="005D0F57" w:rsidP="002525DA">
            <w:pPr>
              <w:jc w:val="center"/>
              <w:rPr>
                <w:i/>
                <w:sz w:val="20"/>
              </w:rPr>
            </w:pPr>
          </w:p>
          <w:p w:rsidR="005D0F57" w:rsidRDefault="005D0F57" w:rsidP="002525DA">
            <w:pPr>
              <w:jc w:val="center"/>
              <w:rPr>
                <w:i/>
                <w:iCs/>
                <w:sz w:val="20"/>
                <w:szCs w:val="20"/>
              </w:rPr>
            </w:pPr>
            <w:r>
              <w:rPr>
                <w:i/>
                <w:sz w:val="20"/>
                <w:szCs w:val="14"/>
              </w:rPr>
              <w:t>Broj suradnji s inozemnim partnerima</w:t>
            </w:r>
            <w:r w:rsidRPr="00B85ECF" w:rsidDel="00C62B6C">
              <w:rPr>
                <w:i/>
                <w:sz w:val="20"/>
              </w:rPr>
              <w:t xml:space="preserve"> </w:t>
            </w:r>
          </w:p>
          <w:p w:rsidR="005D0F57" w:rsidRDefault="005D0F57" w:rsidP="002525DA">
            <w:pPr>
              <w:jc w:val="center"/>
              <w:rPr>
                <w:i/>
                <w:iCs/>
                <w:sz w:val="20"/>
                <w:szCs w:val="20"/>
              </w:rPr>
            </w:pPr>
          </w:p>
          <w:p w:rsidR="005D0F57" w:rsidRDefault="005D0F57" w:rsidP="002525DA">
            <w:pPr>
              <w:jc w:val="center"/>
              <w:rPr>
                <w:i/>
                <w:iCs/>
                <w:sz w:val="20"/>
                <w:szCs w:val="20"/>
              </w:rPr>
            </w:pPr>
          </w:p>
        </w:tc>
        <w:tc>
          <w:tcPr>
            <w:tcW w:w="1766" w:type="dxa"/>
            <w:tcBorders>
              <w:top w:val="nil"/>
              <w:left w:val="nil"/>
              <w:bottom w:val="single" w:sz="8" w:space="0" w:color="auto"/>
              <w:right w:val="single" w:sz="8" w:space="0" w:color="auto"/>
            </w:tcBorders>
            <w:vAlign w:val="center"/>
          </w:tcPr>
          <w:p w:rsidR="005D0F57" w:rsidRPr="00B74DCA" w:rsidRDefault="005D0F57" w:rsidP="002525DA">
            <w:pPr>
              <w:jc w:val="center"/>
              <w:rPr>
                <w:i/>
                <w:sz w:val="20"/>
              </w:rPr>
            </w:pPr>
            <w:r>
              <w:rPr>
                <w:i/>
                <w:sz w:val="20"/>
              </w:rPr>
              <w:t>Prijave i realizacije kompetitivnih projekata iz NPOO (a) i drugih izvora (b)</w:t>
            </w:r>
          </w:p>
        </w:tc>
        <w:tc>
          <w:tcPr>
            <w:tcW w:w="2243"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Broj suradnji</w:t>
            </w:r>
          </w:p>
        </w:tc>
        <w:tc>
          <w:tcPr>
            <w:tcW w:w="885"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109</w:t>
            </w:r>
          </w:p>
        </w:tc>
        <w:tc>
          <w:tcPr>
            <w:tcW w:w="970"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Sveučilište</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r>
              <w:rPr>
                <w:i/>
                <w:iCs/>
              </w:rPr>
              <w:t>130</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sz w:val="22"/>
                <w:szCs w:val="22"/>
              </w:rPr>
            </w:pPr>
            <w:r>
              <w:rPr>
                <w:i/>
                <w:iCs/>
                <w:sz w:val="22"/>
                <w:szCs w:val="22"/>
              </w:rPr>
              <w:t>140</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r>
              <w:rPr>
                <w:i/>
                <w:iCs/>
              </w:rPr>
              <w:t>150</w:t>
            </w:r>
          </w:p>
        </w:tc>
      </w:tr>
      <w:tr w:rsidR="005D0F57" w:rsidTr="002525DA">
        <w:trPr>
          <w:jc w:val="center"/>
        </w:trPr>
        <w:tc>
          <w:tcPr>
            <w:tcW w:w="1423" w:type="dxa"/>
            <w:tcBorders>
              <w:top w:val="nil"/>
              <w:left w:val="single" w:sz="8" w:space="0" w:color="auto"/>
              <w:bottom w:val="single" w:sz="8" w:space="0" w:color="auto"/>
              <w:right w:val="single" w:sz="8" w:space="0" w:color="auto"/>
            </w:tcBorders>
            <w:vAlign w:val="center"/>
          </w:tcPr>
          <w:p w:rsidR="005D0F57" w:rsidRPr="00B85ECF" w:rsidRDefault="005D0F57" w:rsidP="002525DA">
            <w:pPr>
              <w:jc w:val="center"/>
              <w:rPr>
                <w:i/>
                <w:sz w:val="20"/>
              </w:rPr>
            </w:pPr>
            <w:r>
              <w:rPr>
                <w:i/>
                <w:sz w:val="20"/>
                <w:szCs w:val="14"/>
              </w:rPr>
              <w:t>Broj studenata koji sudjeluju u međunarodnoj razmjeni</w:t>
            </w:r>
          </w:p>
        </w:tc>
        <w:tc>
          <w:tcPr>
            <w:tcW w:w="1766" w:type="dxa"/>
            <w:tcBorders>
              <w:top w:val="nil"/>
              <w:left w:val="nil"/>
              <w:bottom w:val="single" w:sz="8" w:space="0" w:color="auto"/>
              <w:right w:val="single" w:sz="8" w:space="0" w:color="auto"/>
            </w:tcBorders>
            <w:vAlign w:val="center"/>
          </w:tcPr>
          <w:p w:rsidR="005D0F57" w:rsidRDefault="005D0F57" w:rsidP="002525DA">
            <w:pPr>
              <w:jc w:val="center"/>
              <w:rPr>
                <w:i/>
                <w:sz w:val="20"/>
              </w:rPr>
            </w:pPr>
            <w:r>
              <w:rPr>
                <w:i/>
                <w:sz w:val="20"/>
              </w:rPr>
              <w:t>Poticanje međunarodne mobilnosti i međunarodne međuinstitucionalne suradnje kroz odlaznu i dolaznu međunarodnu mobilnost studenata</w:t>
            </w:r>
          </w:p>
        </w:tc>
        <w:tc>
          <w:tcPr>
            <w:tcW w:w="2243"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Broj studenata</w:t>
            </w:r>
          </w:p>
        </w:tc>
        <w:tc>
          <w:tcPr>
            <w:tcW w:w="885"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89</w:t>
            </w:r>
          </w:p>
        </w:tc>
        <w:tc>
          <w:tcPr>
            <w:tcW w:w="970"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Sveučilište</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r>
              <w:rPr>
                <w:i/>
                <w:iCs/>
              </w:rPr>
              <w:t>96</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sz w:val="22"/>
                <w:szCs w:val="22"/>
              </w:rPr>
            </w:pPr>
            <w:r>
              <w:rPr>
                <w:i/>
                <w:iCs/>
                <w:sz w:val="22"/>
                <w:szCs w:val="22"/>
              </w:rPr>
              <w:t>98</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r>
              <w:rPr>
                <w:i/>
                <w:iCs/>
              </w:rPr>
              <w:t>100</w:t>
            </w:r>
          </w:p>
        </w:tc>
      </w:tr>
      <w:tr w:rsidR="005D0F57" w:rsidTr="002525DA">
        <w:trPr>
          <w:jc w:val="center"/>
        </w:trPr>
        <w:tc>
          <w:tcPr>
            <w:tcW w:w="1423" w:type="dxa"/>
            <w:tcBorders>
              <w:top w:val="nil"/>
              <w:left w:val="single" w:sz="8" w:space="0" w:color="auto"/>
              <w:bottom w:val="single" w:sz="8" w:space="0" w:color="auto"/>
              <w:right w:val="single" w:sz="8" w:space="0" w:color="auto"/>
            </w:tcBorders>
            <w:vAlign w:val="center"/>
          </w:tcPr>
          <w:p w:rsidR="005D0F57" w:rsidRPr="00B85ECF" w:rsidRDefault="005D0F57" w:rsidP="002525DA">
            <w:pPr>
              <w:jc w:val="center"/>
              <w:rPr>
                <w:i/>
                <w:sz w:val="20"/>
              </w:rPr>
            </w:pPr>
            <w:r>
              <w:rPr>
                <w:i/>
                <w:sz w:val="20"/>
                <w:szCs w:val="14"/>
              </w:rPr>
              <w:t>Broj aktivnosti popularizacije znanosti i umjetnosti</w:t>
            </w:r>
          </w:p>
        </w:tc>
        <w:tc>
          <w:tcPr>
            <w:tcW w:w="1766" w:type="dxa"/>
            <w:tcBorders>
              <w:top w:val="nil"/>
              <w:left w:val="nil"/>
              <w:bottom w:val="single" w:sz="8" w:space="0" w:color="auto"/>
              <w:right w:val="single" w:sz="8" w:space="0" w:color="auto"/>
            </w:tcBorders>
            <w:vAlign w:val="center"/>
          </w:tcPr>
          <w:p w:rsidR="005D0F57" w:rsidRDefault="005D0F57" w:rsidP="002525DA">
            <w:pPr>
              <w:jc w:val="center"/>
              <w:rPr>
                <w:i/>
                <w:sz w:val="20"/>
              </w:rPr>
            </w:pPr>
            <w:r>
              <w:rPr>
                <w:i/>
                <w:sz w:val="20"/>
              </w:rPr>
              <w:t>Popularizacija znanosti i umjetnosti</w:t>
            </w:r>
          </w:p>
        </w:tc>
        <w:tc>
          <w:tcPr>
            <w:tcW w:w="2243"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Broj aktivnosti</w:t>
            </w:r>
          </w:p>
        </w:tc>
        <w:tc>
          <w:tcPr>
            <w:tcW w:w="885"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42</w:t>
            </w:r>
          </w:p>
        </w:tc>
        <w:tc>
          <w:tcPr>
            <w:tcW w:w="970" w:type="dxa"/>
            <w:tcBorders>
              <w:top w:val="nil"/>
              <w:left w:val="nil"/>
              <w:bottom w:val="single" w:sz="8" w:space="0" w:color="auto"/>
              <w:right w:val="single" w:sz="8" w:space="0" w:color="auto"/>
            </w:tcBorders>
            <w:vAlign w:val="center"/>
          </w:tcPr>
          <w:p w:rsidR="005D0F57" w:rsidRDefault="005D0F57" w:rsidP="002525DA">
            <w:pPr>
              <w:jc w:val="center"/>
              <w:rPr>
                <w:i/>
                <w:iCs/>
                <w:sz w:val="20"/>
                <w:szCs w:val="20"/>
              </w:rPr>
            </w:pPr>
            <w:r>
              <w:rPr>
                <w:i/>
                <w:iCs/>
                <w:sz w:val="20"/>
                <w:szCs w:val="20"/>
              </w:rPr>
              <w:t>Sveučilište</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r>
              <w:rPr>
                <w:i/>
                <w:iCs/>
              </w:rPr>
              <w:t>46</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sz w:val="22"/>
                <w:szCs w:val="22"/>
              </w:rPr>
            </w:pPr>
            <w:r>
              <w:rPr>
                <w:i/>
                <w:iCs/>
                <w:sz w:val="22"/>
                <w:szCs w:val="22"/>
              </w:rPr>
              <w:t>47</w:t>
            </w:r>
          </w:p>
        </w:tc>
        <w:tc>
          <w:tcPr>
            <w:tcW w:w="831" w:type="dxa"/>
            <w:tcBorders>
              <w:top w:val="nil"/>
              <w:left w:val="nil"/>
              <w:bottom w:val="single" w:sz="8" w:space="0" w:color="auto"/>
              <w:right w:val="single" w:sz="8" w:space="0" w:color="auto"/>
            </w:tcBorders>
            <w:vAlign w:val="center"/>
          </w:tcPr>
          <w:p w:rsidR="005D0F57" w:rsidRDefault="005D0F57" w:rsidP="002525DA">
            <w:pPr>
              <w:jc w:val="center"/>
              <w:rPr>
                <w:i/>
                <w:iCs/>
              </w:rPr>
            </w:pPr>
            <w:r>
              <w:rPr>
                <w:i/>
                <w:iCs/>
              </w:rPr>
              <w:t>49</w:t>
            </w:r>
          </w:p>
        </w:tc>
      </w:tr>
    </w:tbl>
    <w:p w:rsidR="00BD50FF" w:rsidRPr="00BD50FF" w:rsidRDefault="00BD50FF" w:rsidP="00BD50FF">
      <w:pPr>
        <w:jc w:val="both"/>
        <w:rPr>
          <w:i/>
          <w:highlight w:val="cyan"/>
        </w:rPr>
      </w:pPr>
    </w:p>
    <w:p w:rsidR="00136BCE" w:rsidRDefault="00136BCE" w:rsidP="00C51C46">
      <w:pPr>
        <w:jc w:val="both"/>
        <w:rPr>
          <w:i/>
        </w:rPr>
      </w:pPr>
    </w:p>
    <w:p w:rsidR="005D0F57" w:rsidRDefault="005D0F57" w:rsidP="00C51C46">
      <w:pPr>
        <w:jc w:val="both"/>
        <w:rPr>
          <w:i/>
        </w:rPr>
      </w:pPr>
    </w:p>
    <w:p w:rsidR="005D0F57" w:rsidRPr="00B77F75" w:rsidRDefault="005D0F57" w:rsidP="00C51C46">
      <w:pPr>
        <w:jc w:val="both"/>
        <w:rPr>
          <w:i/>
        </w:rPr>
      </w:pPr>
    </w:p>
    <w:p w:rsidR="00C51C46" w:rsidRPr="00AF0937" w:rsidRDefault="003B4E58" w:rsidP="00C51C46">
      <w:pPr>
        <w:pBdr>
          <w:top w:val="dotted" w:sz="4" w:space="1" w:color="808080" w:themeColor="background1" w:themeShade="80"/>
          <w:bottom w:val="dotted" w:sz="4" w:space="1" w:color="808080" w:themeColor="background1" w:themeShade="80"/>
        </w:pBdr>
        <w:shd w:val="clear" w:color="auto" w:fill="D0CECE" w:themeFill="background2" w:themeFillShade="E6"/>
        <w:jc w:val="both"/>
        <w:rPr>
          <w:sz w:val="28"/>
          <w:szCs w:val="28"/>
        </w:rPr>
      </w:pPr>
      <w:r w:rsidRPr="00AF0937">
        <w:rPr>
          <w:sz w:val="28"/>
          <w:szCs w:val="28"/>
        </w:rPr>
        <w:t>A679133</w:t>
      </w:r>
      <w:r w:rsidR="001B463C">
        <w:rPr>
          <w:sz w:val="28"/>
          <w:szCs w:val="28"/>
        </w:rPr>
        <w:t xml:space="preserve"> -</w:t>
      </w:r>
      <w:r w:rsidRPr="00AF0937">
        <w:rPr>
          <w:sz w:val="28"/>
          <w:szCs w:val="28"/>
        </w:rPr>
        <w:t xml:space="preserve"> PROGRAM PREKOGRANIČNE SURADNJE UPRAVLJAČKO TIJELO IZ INOZEMSTVA - IZ EVIDENCIJSKIH PRIHODA</w:t>
      </w:r>
    </w:p>
    <w:p w:rsidR="00C51C46" w:rsidRPr="00B77F75" w:rsidRDefault="00C51C46" w:rsidP="00C51C46">
      <w:pPr>
        <w:jc w:val="both"/>
        <w:rPr>
          <w:i/>
        </w:rPr>
      </w:pPr>
    </w:p>
    <w:p w:rsidR="00C51C46" w:rsidRPr="00B77F75" w:rsidRDefault="00C51C46" w:rsidP="00C51C46">
      <w:pPr>
        <w:jc w:val="both"/>
        <w:rPr>
          <w:i/>
        </w:rPr>
      </w:pPr>
      <w:r w:rsidRPr="00B77F75">
        <w:rPr>
          <w:i/>
        </w:rPr>
        <w:t>Zakonske i druge pravne osnove</w:t>
      </w:r>
    </w:p>
    <w:p w:rsidR="00C51C46" w:rsidRPr="00B77F75" w:rsidRDefault="00C51C46" w:rsidP="00C51C46">
      <w:pPr>
        <w:jc w:val="both"/>
        <w:rPr>
          <w:i/>
        </w:rPr>
      </w:pPr>
    </w:p>
    <w:p w:rsidR="00023380" w:rsidRDefault="00023380" w:rsidP="00023380">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visokom obrazovanju i znanstvenoj djelatnosti (NN 119/22)</w:t>
      </w:r>
    </w:p>
    <w:p w:rsidR="00023380" w:rsidRPr="00DD1ECF" w:rsidRDefault="00023380" w:rsidP="00023380">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 osiguravanju kvalitete u visokom obrazovanju i znanosti (NN 151/22)</w:t>
      </w:r>
    </w:p>
    <w:p w:rsidR="00023380" w:rsidRDefault="00023380" w:rsidP="00023380">
      <w:pPr>
        <w:pStyle w:val="ListParagraph"/>
        <w:numPr>
          <w:ilvl w:val="0"/>
          <w:numId w:val="8"/>
        </w:numPr>
        <w:rPr>
          <w:rFonts w:ascii="Times New Roman" w:eastAsia="Times New Roman" w:hAnsi="Times New Roman" w:cs="Times New Roman"/>
          <w:sz w:val="24"/>
          <w:szCs w:val="24"/>
          <w:lang w:eastAsia="en-GB"/>
        </w:rPr>
      </w:pPr>
      <w:r w:rsidRPr="00DD1ECF">
        <w:rPr>
          <w:rFonts w:ascii="Times New Roman" w:eastAsia="Times New Roman" w:hAnsi="Times New Roman" w:cs="Times New Roman"/>
          <w:sz w:val="24"/>
          <w:szCs w:val="24"/>
          <w:lang w:eastAsia="en-GB"/>
        </w:rPr>
        <w:t>Zakon o</w:t>
      </w:r>
      <w:r>
        <w:rPr>
          <w:rFonts w:ascii="Times New Roman" w:eastAsia="Times New Roman" w:hAnsi="Times New Roman" w:cs="Times New Roman"/>
          <w:sz w:val="24"/>
          <w:szCs w:val="24"/>
          <w:lang w:eastAsia="en-GB"/>
        </w:rPr>
        <w:t xml:space="preserve"> </w:t>
      </w:r>
      <w:r w:rsidRPr="00DD1ECF">
        <w:rPr>
          <w:rFonts w:ascii="Times New Roman" w:eastAsia="Times New Roman" w:hAnsi="Times New Roman" w:cs="Times New Roman"/>
          <w:sz w:val="24"/>
          <w:szCs w:val="24"/>
          <w:lang w:eastAsia="en-GB"/>
        </w:rPr>
        <w:t>Hrvatskom kvalifikacijskom okviru</w:t>
      </w:r>
      <w:r>
        <w:rPr>
          <w:rFonts w:ascii="Times New Roman" w:eastAsia="Times New Roman" w:hAnsi="Times New Roman" w:cs="Times New Roman"/>
          <w:sz w:val="24"/>
          <w:szCs w:val="24"/>
          <w:lang w:eastAsia="en-GB"/>
        </w:rPr>
        <w:t xml:space="preserve"> (NN22/13, 64/18 i 20/21)</w:t>
      </w:r>
    </w:p>
    <w:p w:rsidR="00023380" w:rsidRPr="00753F41" w:rsidRDefault="00023380" w:rsidP="00023380">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Nacionalni plan razvoja sustava obrazovanja za razdoblje do 2027. godine</w:t>
      </w:r>
    </w:p>
    <w:p w:rsidR="00023380" w:rsidRPr="00753F41" w:rsidRDefault="00023380" w:rsidP="00023380">
      <w:pPr>
        <w:pStyle w:val="ListParagraph"/>
        <w:numPr>
          <w:ilvl w:val="0"/>
          <w:numId w:val="8"/>
        </w:numPr>
        <w:rPr>
          <w:rFonts w:ascii="Times New Roman" w:eastAsia="Times New Roman" w:hAnsi="Times New Roman" w:cs="Times New Roman"/>
          <w:sz w:val="24"/>
          <w:szCs w:val="24"/>
          <w:lang w:eastAsia="en-GB"/>
        </w:rPr>
      </w:pPr>
      <w:r w:rsidRPr="00753F41">
        <w:rPr>
          <w:rFonts w:ascii="Times New Roman" w:eastAsia="Times New Roman" w:hAnsi="Times New Roman" w:cs="Times New Roman"/>
          <w:sz w:val="24"/>
          <w:szCs w:val="24"/>
          <w:lang w:eastAsia="en-GB"/>
        </w:rPr>
        <w:t>Plan razvoja obrazovanja Istarske županije do 2030.godine</w:t>
      </w:r>
    </w:p>
    <w:p w:rsidR="00023380" w:rsidRPr="00023380" w:rsidRDefault="00023380" w:rsidP="00023380">
      <w:pPr>
        <w:pStyle w:val="ListParagraph"/>
        <w:numPr>
          <w:ilvl w:val="0"/>
          <w:numId w:val="8"/>
        </w:numPr>
        <w:jc w:val="both"/>
        <w:rPr>
          <w:iCs/>
          <w:lang w:bidi="ta-IN"/>
        </w:rPr>
      </w:pPr>
      <w:r w:rsidRPr="00753F41">
        <w:rPr>
          <w:rFonts w:ascii="Times New Roman" w:eastAsia="Times New Roman" w:hAnsi="Times New Roman" w:cs="Times New Roman"/>
          <w:sz w:val="24"/>
          <w:szCs w:val="24"/>
          <w:lang w:eastAsia="en-GB"/>
        </w:rPr>
        <w:t>Strategija razvoja urbanog područja Pula 2021-2027</w:t>
      </w:r>
    </w:p>
    <w:p w:rsidR="00023380" w:rsidRDefault="00023380" w:rsidP="00023380">
      <w:pPr>
        <w:pStyle w:val="ListParagraph"/>
        <w:numPr>
          <w:ilvl w:val="0"/>
          <w:numId w:val="8"/>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Uredba o programskom financiranju javnih visokih učilišta i javnih znanstvenih instituta u Republici Hrvatskoj</w:t>
      </w:r>
      <w:r w:rsidRPr="00201A55">
        <w:rPr>
          <w:rFonts w:ascii="Times New Roman" w:eastAsia="Times New Roman" w:hAnsi="Times New Roman" w:cs="Times New Roman"/>
          <w:sz w:val="24"/>
          <w:szCs w:val="24"/>
          <w:lang w:eastAsia="en-GB"/>
        </w:rPr>
        <w:t xml:space="preserve">  NN 78/2023</w:t>
      </w:r>
    </w:p>
    <w:p w:rsidR="00023380" w:rsidRPr="00A6677E" w:rsidRDefault="00023380" w:rsidP="00023380">
      <w:pPr>
        <w:pStyle w:val="ListParagraph"/>
        <w:numPr>
          <w:ilvl w:val="0"/>
          <w:numId w:val="8"/>
        </w:numPr>
        <w:jc w:val="both"/>
        <w:rPr>
          <w:iCs/>
          <w:lang w:bidi="ta-IN"/>
        </w:rPr>
      </w:pPr>
      <w:r w:rsidRPr="00A6677E">
        <w:rPr>
          <w:rFonts w:ascii="Times New Roman" w:eastAsia="Times New Roman" w:hAnsi="Times New Roman" w:cs="Times New Roman"/>
          <w:sz w:val="24"/>
          <w:szCs w:val="24"/>
          <w:lang w:eastAsia="en-GB"/>
        </w:rPr>
        <w:t xml:space="preserve">Strategija razvoja karijera za istraživače Sveučilišta Jurja Dobrile u Puli (2024.-2028.) </w:t>
      </w:r>
    </w:p>
    <w:p w:rsidR="00023380" w:rsidRDefault="00023380" w:rsidP="00023380">
      <w:pPr>
        <w:pStyle w:val="ListParagraph"/>
        <w:numPr>
          <w:ilvl w:val="0"/>
          <w:numId w:val="8"/>
        </w:numPr>
        <w:jc w:val="both"/>
        <w:rPr>
          <w:iCs/>
          <w:lang w:bidi="ta-IN"/>
        </w:rPr>
      </w:pPr>
      <w:r w:rsidRPr="00A6677E">
        <w:rPr>
          <w:iCs/>
          <w:lang w:bidi="ta-IN"/>
        </w:rPr>
        <w:t>Istraživačka umjetnička strategija Sveučilišta Jurja Dobrile u Puli (2022.-2026.)</w:t>
      </w:r>
    </w:p>
    <w:p w:rsidR="00023380" w:rsidRDefault="00023380" w:rsidP="00023380">
      <w:pPr>
        <w:pStyle w:val="ListParagraph"/>
        <w:numPr>
          <w:ilvl w:val="0"/>
          <w:numId w:val="8"/>
        </w:numPr>
        <w:jc w:val="both"/>
        <w:rPr>
          <w:iCs/>
          <w:lang w:bidi="ta-IN"/>
        </w:rPr>
      </w:pPr>
      <w:r w:rsidRPr="00A6677E">
        <w:rPr>
          <w:iCs/>
          <w:lang w:bidi="ta-IN"/>
        </w:rPr>
        <w:t>Strategija razvoja Sveučilišta Jurja Dobrile u Puli (2021-2026)</w:t>
      </w:r>
    </w:p>
    <w:p w:rsidR="00023380" w:rsidRPr="00023380" w:rsidRDefault="00023380" w:rsidP="00023380">
      <w:pPr>
        <w:pStyle w:val="ListParagraph"/>
        <w:numPr>
          <w:ilvl w:val="0"/>
          <w:numId w:val="8"/>
        </w:numPr>
        <w:jc w:val="both"/>
        <w:rPr>
          <w:iCs/>
          <w:lang w:bidi="ta-IN"/>
        </w:rPr>
      </w:pPr>
      <w:r w:rsidRPr="00A6677E">
        <w:rPr>
          <w:iCs/>
          <w:lang w:bidi="ta-IN"/>
        </w:rPr>
        <w:t>Istraživačka strategija Sveučilišta Jurja Dobrile u Puli (2021.-2026.)</w:t>
      </w:r>
    </w:p>
    <w:p w:rsidR="00023380" w:rsidRPr="00DD2F24" w:rsidRDefault="00023380" w:rsidP="00023380">
      <w:pPr>
        <w:pStyle w:val="ListParagraph"/>
        <w:numPr>
          <w:ilvl w:val="0"/>
          <w:numId w:val="8"/>
        </w:numPr>
        <w:jc w:val="both"/>
        <w:rPr>
          <w:iCs/>
          <w:lang w:bidi="ta-IN"/>
        </w:rPr>
      </w:pPr>
      <w:r w:rsidRPr="00DD2F24">
        <w:rPr>
          <w:iCs/>
          <w:lang w:bidi="ta-IN"/>
        </w:rPr>
        <w:t>Pravilnik o mjerilima i načinu korištenja namjenskih prihoda proračunskih korisnika iz nadležnosti ministarstva znanosti, obrazovanja i mladih NN 79/2024</w:t>
      </w:r>
    </w:p>
    <w:p w:rsidR="00023380" w:rsidRDefault="00023380" w:rsidP="00023380">
      <w:pPr>
        <w:pStyle w:val="ListParagraph"/>
        <w:numPr>
          <w:ilvl w:val="0"/>
          <w:numId w:val="8"/>
        </w:numPr>
        <w:jc w:val="both"/>
        <w:rPr>
          <w:iCs/>
          <w:lang w:bidi="ta-IN"/>
        </w:rPr>
      </w:pPr>
      <w:r w:rsidRPr="00DD2F24">
        <w:rPr>
          <w:iCs/>
          <w:lang w:bidi="ta-IN"/>
        </w:rPr>
        <w:lastRenderedPageBreak/>
        <w:t>Pravilnik o mjerilima i načinu korištenja nenamjenskih donacija i vlastitih  prihoda proračunskih korisnika iz nadležnosti ministarstva znanosti, obrazovanja i mladih NN 79/2024</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Ugovor o Europskoj uniji (pročišćena verzija, SL C 202, 7.6.2016.)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Ugovor o funkcioniranju Europske unije (pročišćena verzija, SL C 202, 7.6.2016.)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Pr>
          <w:rFonts w:ascii="Times New Roman" w:hAnsi="Times New Roman" w:cs="Times New Roman"/>
          <w:iCs/>
          <w:sz w:val="24"/>
          <w:szCs w:val="24"/>
          <w:lang w:bidi="ta-IN"/>
        </w:rPr>
        <w:t>vizne</w:t>
      </w:r>
      <w:proofErr w:type="spellEnd"/>
      <w:r>
        <w:rPr>
          <w:rFonts w:ascii="Times New Roman" w:hAnsi="Times New Roman" w:cs="Times New Roman"/>
          <w:iCs/>
          <w:sz w:val="24"/>
          <w:szCs w:val="24"/>
          <w:lang w:bidi="ta-IN"/>
        </w:rPr>
        <w:t xml:space="preserve"> politike (SL L 231, 30.6.2021.)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Uredbu (EU) br. 2021/1058 Europskog parlamenta i Vijeća od 24. lipnja 2021. o Europskom fondu za regionalni razvoj i Kohezijskom fondu (SL L 231, 30.6.2021.)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Uredbu (EU) br. 2021/1056 Europskog parlamenta i Vijeća od 24. lipnja 2021. o uspostavi Fonda za pravednu tranziciju (SL L 231, 30.6.2021.)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Uredbu (EU, Euratom) 2024/2509 Europskog parlamenta i Vijeća od 23. rujna 2024. o financijskim pravilima koja se primjenjuju na opći proračun Unije (preinaka) (SL L 2024/2509, 26.9.2024.)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Uredbu (EU) 2016/679 Europskog parlamenta i Vijeća od 27. travnja 2016. o zaštiti pojedinaca u vezi s obradom osobnih podataka i o slobodnom kretanju takvih te o stavljanju izvan snage Direktive 95/46/EZ (Opća uredba o zaštiti podataka) (SL L 119, 4.5.2016.)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Povelju Europske unije o temeljnim pravima (SL C 202, 7.6.2016.)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Smjernice o osiguravanju poštovanja Povelje Europske unije o temeljnim pravima pri provedbi europskih strukturnih i investicijskih fondova (SL C 269, 23.7.2016.).</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Ugovor o pristupanju Republike Hrvatske Europskoj uniji (NN, Međunarodni ugovori, br. 2/2012) (Ugovor o pristupanju)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Nacionalna klasifikacija statističkih regija 2021. (HR_NUTS 2021) (NN, broj 125/19)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sustavu strateškog planiranja i upravljanja razvojem Republike Hrvatske (NN 123/17, 151/22)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regionalnom razvoju Republike Hrvatske (NN 147/14, 123/17, 118/18)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lokalnoj i područnoj (regionalnoj) samoupravi (NN 33/01, 60/01, 129/05, 109/07, 125/08, 36/09, 150/11, 144/12, 19/13, 137/15, 123/17, 98/19, 144/20)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područjima županija, gradova i općina u Republici Hrvatskoj (NN 86/06, 125/06, 16/07, 95/08, 46/10, 145/10, 37/13, 44/13, 45/13, 110/15)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regionalnom razvoju Republike Hrvatske (NN 147/14, 123/17, 118/18)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Uredba o indeksu razvijenosti (NN 131/17)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Odluka o razvrstavanju jedinica lokalne i područne (regionalne) samouprave prema stupnju razvijenosti (NN 3/24)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trgovačkim društvima (NN 111/93, 34/99, 121/99, 52/00, 118/03, 107/07, 146/08, 137/09, 111/12, 125/12, 152/12, 68/13, 110/15, 40/19, 34/22, 114/22, 18/23, 130/23, 136/24)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lastRenderedPageBreak/>
        <w:t xml:space="preserve">Zakon o javnoj nabavi (NN 120/16, 114/22)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financijskom poslovanju i računovodstvu neprofitnih organizacija (NN 121/14, 114/22)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financijskom poslovanju i </w:t>
      </w:r>
      <w:proofErr w:type="spellStart"/>
      <w:r>
        <w:t>predstečajnoj</w:t>
      </w:r>
      <w:proofErr w:type="spellEnd"/>
      <w:r>
        <w:t xml:space="preserve"> nagodbi (NN 108/12, 144/12, 81/13, 112/13, 121/13, 71/15, 78/15, 114/22)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Stečajni zakon (NN 71/15, 104/17, 36/22, 27/24)</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vlasništvu i drugim stvarnim pravima (NN 91/96, 68/98, 137/99, 22/00, 73/00, 114/01, 79/06, 141/06, 146/08, 38/09, 153/09, 90/00, 143/12, 152/14, 81/15, 94/17 – ispravak)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ustanovama (NN 76/93, 29/97, 47/99, 35/08, 127/19, 151/22)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radu (NN 93/14, 127/17, 98/19, 151/22, 64/23)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Kazneni zakon (NN 125/11, 144/12, 56/15, 61/15, 101/17, 118/18, 126/19, 84/21, 114/22, 114/23, 36/24)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sprječavanju sukoba interesa (NN 143/21, 36/24)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sprječavanju pranja novca i financiranja terorizma (NN 108/17, 39/19, 151/22)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potvrđivanju Konvencije o pravima osoba s invaliditetom i Fakultativnog protokola uz Konvenciju o pravima osoba s invaliditetom, s posebnim naglaskom na članak 9. Konvencije („Narodne novine – Međunarodni ugovori“, broj 6/07, 5/08)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profesionalnoj rehabilitaciji i zapošljavanju osoba s invaliditetom (NN 157/13, 152/14, 39/18, 32/20)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suzbijanju diskriminacije (NN 85/08, 112/12)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ravnopravnosti spolova (NN 82/08, 69/17)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Ustavni zakon o pravima nacionalnih manjina (NN 155/02, 47/10, 80/10, 93/11) • Zakon o gradnji (NN 153/13, 20/17, 39/19, 125/19, 145/24)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Pravilnik o jednostavnim i drugim građevinama i radovima (NN 112/17, 34/18, 36/19, 98/19, 31/20, 74/22, 155/23)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Uredba o procjeni utjecaja zahvata na okoliš (NN 61/14, 3/17)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Pravilnik o osiguranju pristupačnosti građevina osobama s invaliditetom i smanjene pokretljivosti (NN 78/13), odnosno Tehnički propis o osiguranju pristupačnosti građevina osobama s invaliditetom i smanjene pokretljivosti („Narodne novine“, broj 12/23) koji stupa na snagu 28. lipnja 2025. godine, a istog dana prestat će važiti Pravilnik o osiguranju pristupačnosti građevina osobama s invaliditetom i smanjene pokretljivosti („Narodne novine“, broj 78/13)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Tehničke smjernice za pripremu infrastrukture za klimatske promjene u razdoblju 2021.– 2027.1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Zakon o provedbi Opće uredbe o zaštiti podataka (NN 42/18)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 xml:space="preserve">Pravilnik o korištenju sredstava Europske unije (NN 44/24) </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t>ostali akti i tehnički propisi doneseni na temelju gore navedenih zakona ili drugi relevantni propisi.</w:t>
      </w:r>
    </w:p>
    <w:p w:rsidR="00AA43D1" w:rsidRDefault="00AA43D1" w:rsidP="00AA43D1">
      <w:pPr>
        <w:pStyle w:val="ListParagraph"/>
        <w:numPr>
          <w:ilvl w:val="0"/>
          <w:numId w:val="8"/>
        </w:numPr>
        <w:spacing w:line="256" w:lineRule="auto"/>
        <w:jc w:val="both"/>
        <w:rPr>
          <w:rFonts w:ascii="Times New Roman" w:hAnsi="Times New Roman" w:cs="Times New Roman"/>
          <w:iCs/>
          <w:sz w:val="24"/>
          <w:szCs w:val="24"/>
          <w:lang w:bidi="ta-IN"/>
        </w:rPr>
      </w:pPr>
      <w:r>
        <w:rPr>
          <w:rFonts w:ascii="Times New Roman" w:hAnsi="Times New Roman" w:cs="Times New Roman"/>
          <w:iCs/>
          <w:sz w:val="24"/>
          <w:szCs w:val="24"/>
          <w:lang w:bidi="ta-IN"/>
        </w:rPr>
        <w:t xml:space="preserve">INTERREG_Italy_Croatia_Programme_2021_2027 </w:t>
      </w:r>
      <w:proofErr w:type="spellStart"/>
      <w:r>
        <w:rPr>
          <w:rFonts w:ascii="Times New Roman" w:hAnsi="Times New Roman" w:cs="Times New Roman"/>
          <w:iCs/>
          <w:sz w:val="24"/>
          <w:szCs w:val="24"/>
          <w:lang w:bidi="ta-IN"/>
        </w:rPr>
        <w:t>Implementation</w:t>
      </w:r>
      <w:proofErr w:type="spellEnd"/>
      <w:r>
        <w:rPr>
          <w:rFonts w:ascii="Times New Roman" w:hAnsi="Times New Roman" w:cs="Times New Roman"/>
          <w:iCs/>
          <w:sz w:val="24"/>
          <w:szCs w:val="24"/>
          <w:lang w:bidi="ta-IN"/>
        </w:rPr>
        <w:t xml:space="preserve"> manual</w:t>
      </w:r>
    </w:p>
    <w:p w:rsidR="00AA43D1" w:rsidRDefault="00AA43D1" w:rsidP="00AA43D1">
      <w:pPr>
        <w:pStyle w:val="ListParagraph"/>
        <w:ind w:left="1570"/>
        <w:jc w:val="both"/>
        <w:rPr>
          <w:iCs/>
          <w:lang w:bidi="ta-IN"/>
        </w:rPr>
      </w:pPr>
    </w:p>
    <w:p w:rsidR="00CC59C9" w:rsidRPr="00DD2F24" w:rsidRDefault="00CC59C9" w:rsidP="00AA43D1">
      <w:pPr>
        <w:pStyle w:val="ListParagraph"/>
        <w:ind w:left="1570"/>
        <w:jc w:val="both"/>
        <w:rPr>
          <w:iCs/>
          <w:lang w:bidi="ta-IN"/>
        </w:rPr>
      </w:pPr>
    </w:p>
    <w:p w:rsidR="00C51C46" w:rsidRPr="00B77F75" w:rsidRDefault="00C51C46" w:rsidP="00C51C46">
      <w:pPr>
        <w:pStyle w:val="ListParagraph"/>
        <w:jc w:val="both"/>
        <w:rPr>
          <w:rFonts w:ascii="Times New Roman" w:hAnsi="Times New Roman" w:cs="Times New Roman"/>
          <w:i/>
        </w:rPr>
      </w:pPr>
    </w:p>
    <w:tbl>
      <w:tblPr>
        <w:tblStyle w:val="TableGrid"/>
        <w:tblW w:w="0" w:type="auto"/>
        <w:tblLook w:val="04A0" w:firstRow="1" w:lastRow="0" w:firstColumn="1" w:lastColumn="0" w:noHBand="0" w:noVBand="1"/>
      </w:tblPr>
      <w:tblGrid>
        <w:gridCol w:w="1980"/>
        <w:gridCol w:w="1282"/>
        <w:gridCol w:w="1176"/>
        <w:gridCol w:w="1257"/>
        <w:gridCol w:w="1226"/>
        <w:gridCol w:w="1176"/>
        <w:gridCol w:w="965"/>
      </w:tblGrid>
      <w:tr w:rsidR="00D00B54" w:rsidRPr="00B77F75" w:rsidTr="006D362B">
        <w:tc>
          <w:tcPr>
            <w:tcW w:w="1980" w:type="dxa"/>
            <w:shd w:val="clear" w:color="auto" w:fill="D0CECE" w:themeFill="background2" w:themeFillShade="E6"/>
          </w:tcPr>
          <w:p w:rsidR="00D00B54" w:rsidRPr="00B77F75" w:rsidRDefault="00D00B54" w:rsidP="00D00B54">
            <w:pPr>
              <w:jc w:val="both"/>
            </w:pPr>
          </w:p>
          <w:p w:rsidR="00D00B54" w:rsidRPr="00B77F75" w:rsidRDefault="00D00B54" w:rsidP="00D00B54">
            <w:pPr>
              <w:jc w:val="both"/>
            </w:pPr>
          </w:p>
        </w:tc>
        <w:tc>
          <w:tcPr>
            <w:tcW w:w="1282" w:type="dxa"/>
            <w:shd w:val="clear" w:color="auto" w:fill="D0CECE" w:themeFill="background2" w:themeFillShade="E6"/>
            <w:vAlign w:val="center"/>
          </w:tcPr>
          <w:p w:rsidR="00D00B54" w:rsidRPr="00B77F75" w:rsidRDefault="00D00B54" w:rsidP="00D00B54">
            <w:pPr>
              <w:jc w:val="center"/>
            </w:pPr>
            <w:r w:rsidRPr="00B77F75">
              <w:t>Izvršenje 202</w:t>
            </w:r>
            <w:r w:rsidR="003231E9">
              <w:t>4</w:t>
            </w:r>
            <w:r w:rsidRPr="00B77F75">
              <w:t>.</w:t>
            </w:r>
          </w:p>
        </w:tc>
        <w:tc>
          <w:tcPr>
            <w:tcW w:w="1176" w:type="dxa"/>
            <w:shd w:val="clear" w:color="auto" w:fill="D0CECE" w:themeFill="background2" w:themeFillShade="E6"/>
            <w:vAlign w:val="center"/>
          </w:tcPr>
          <w:p w:rsidR="00D00B54" w:rsidRPr="00B77F75" w:rsidRDefault="00D00B54" w:rsidP="00D00B54">
            <w:pPr>
              <w:jc w:val="center"/>
            </w:pPr>
            <w:r w:rsidRPr="00B77F75">
              <w:t>Plan 202</w:t>
            </w:r>
            <w:r w:rsidR="003231E9">
              <w:t>5</w:t>
            </w:r>
            <w:r w:rsidRPr="00B77F75">
              <w:t>.</w:t>
            </w:r>
          </w:p>
        </w:tc>
        <w:tc>
          <w:tcPr>
            <w:tcW w:w="1257" w:type="dxa"/>
            <w:shd w:val="clear" w:color="auto" w:fill="D0CECE" w:themeFill="background2" w:themeFillShade="E6"/>
            <w:vAlign w:val="center"/>
          </w:tcPr>
          <w:p w:rsidR="00D00B54" w:rsidRPr="00B77F75" w:rsidRDefault="00D00B54" w:rsidP="00D00B54">
            <w:pPr>
              <w:jc w:val="center"/>
            </w:pPr>
            <w:r w:rsidRPr="00B77F75">
              <w:t>Plan 202</w:t>
            </w:r>
            <w:r w:rsidR="003231E9">
              <w:t>6</w:t>
            </w:r>
            <w:r w:rsidRPr="00B77F75">
              <w:t>.</w:t>
            </w:r>
          </w:p>
        </w:tc>
        <w:tc>
          <w:tcPr>
            <w:tcW w:w="1226" w:type="dxa"/>
            <w:shd w:val="clear" w:color="auto" w:fill="D0CECE" w:themeFill="background2" w:themeFillShade="E6"/>
            <w:vAlign w:val="center"/>
          </w:tcPr>
          <w:p w:rsidR="00D00B54" w:rsidRPr="00B77F75" w:rsidRDefault="00D00B54" w:rsidP="00D00B54">
            <w:pPr>
              <w:jc w:val="center"/>
            </w:pPr>
            <w:r w:rsidRPr="00B77F75">
              <w:t>Plan 202</w:t>
            </w:r>
            <w:r w:rsidR="003231E9">
              <w:t>7</w:t>
            </w:r>
            <w:r w:rsidRPr="00B77F75">
              <w:t>.</w:t>
            </w:r>
          </w:p>
        </w:tc>
        <w:tc>
          <w:tcPr>
            <w:tcW w:w="1176" w:type="dxa"/>
            <w:shd w:val="clear" w:color="auto" w:fill="D0CECE" w:themeFill="background2" w:themeFillShade="E6"/>
            <w:vAlign w:val="center"/>
          </w:tcPr>
          <w:p w:rsidR="00D00B54" w:rsidRPr="00B77F75" w:rsidRDefault="00D00B54" w:rsidP="00D00B54">
            <w:pPr>
              <w:jc w:val="center"/>
            </w:pPr>
            <w:r w:rsidRPr="00B77F75">
              <w:t>Plan 202</w:t>
            </w:r>
            <w:r w:rsidR="003231E9">
              <w:t>8</w:t>
            </w:r>
            <w:r w:rsidRPr="00B77F75">
              <w:t>.</w:t>
            </w:r>
          </w:p>
        </w:tc>
        <w:tc>
          <w:tcPr>
            <w:tcW w:w="965" w:type="dxa"/>
            <w:shd w:val="clear" w:color="auto" w:fill="D0CECE" w:themeFill="background2" w:themeFillShade="E6"/>
            <w:vAlign w:val="center"/>
          </w:tcPr>
          <w:p w:rsidR="00D00B54" w:rsidRPr="00B77F75" w:rsidRDefault="00D00B54" w:rsidP="00D00B54">
            <w:pPr>
              <w:jc w:val="center"/>
            </w:pPr>
            <w:r w:rsidRPr="00B77F75">
              <w:t>Indeks 2</w:t>
            </w:r>
            <w:r w:rsidR="003231E9">
              <w:t>6</w:t>
            </w:r>
            <w:r w:rsidRPr="00B77F75">
              <w:t>./2.</w:t>
            </w:r>
          </w:p>
        </w:tc>
      </w:tr>
      <w:tr w:rsidR="0061564F" w:rsidRPr="00B77F75" w:rsidTr="006D362B">
        <w:tc>
          <w:tcPr>
            <w:tcW w:w="1980" w:type="dxa"/>
          </w:tcPr>
          <w:p w:rsidR="0061564F" w:rsidRPr="00B77F75" w:rsidRDefault="0061564F" w:rsidP="0061564F">
            <w:r w:rsidRPr="00B77F75">
              <w:t>Šifra aktivnosti/ programa</w:t>
            </w:r>
          </w:p>
          <w:p w:rsidR="0061564F" w:rsidRPr="003B4E58" w:rsidRDefault="0061564F" w:rsidP="0061564F">
            <w:pPr>
              <w:rPr>
                <w:sz w:val="20"/>
                <w:szCs w:val="20"/>
              </w:rPr>
            </w:pPr>
            <w:r w:rsidRPr="003B4E58">
              <w:rPr>
                <w:sz w:val="20"/>
                <w:szCs w:val="20"/>
              </w:rPr>
              <w:t>A679133 PROGRAM PREKOGRANIČNE SURADNJE UPRAVLJAČKO TIJELO IZ INOZEMSTVA - IZ EVIDENCIJSKIH PRIHODA</w:t>
            </w:r>
          </w:p>
        </w:tc>
        <w:tc>
          <w:tcPr>
            <w:tcW w:w="1282" w:type="dxa"/>
            <w:shd w:val="clear" w:color="auto" w:fill="auto"/>
          </w:tcPr>
          <w:p w:rsidR="0061564F" w:rsidRPr="00B77F75" w:rsidRDefault="0061564F" w:rsidP="0061564F">
            <w:pPr>
              <w:jc w:val="both"/>
            </w:pPr>
            <w:r w:rsidRPr="00B77F75">
              <w:t xml:space="preserve"> </w:t>
            </w:r>
            <w:r>
              <w:t xml:space="preserve"> </w:t>
            </w:r>
            <w:r w:rsidRPr="00B77F75">
              <w:t xml:space="preserve"> </w:t>
            </w:r>
            <w:r>
              <w:t>-</w:t>
            </w:r>
          </w:p>
          <w:p w:rsidR="0061564F" w:rsidRPr="00B77F75" w:rsidRDefault="0061564F" w:rsidP="0061564F">
            <w:pPr>
              <w:jc w:val="both"/>
              <w:rPr>
                <w:highlight w:val="cyan"/>
              </w:rPr>
            </w:pPr>
            <w:r w:rsidRPr="00B77F75">
              <w:t xml:space="preserve">   EUR</w:t>
            </w:r>
          </w:p>
        </w:tc>
        <w:tc>
          <w:tcPr>
            <w:tcW w:w="1176" w:type="dxa"/>
          </w:tcPr>
          <w:p w:rsidR="0061564F" w:rsidRDefault="0061564F" w:rsidP="0061564F">
            <w:pPr>
              <w:jc w:val="both"/>
              <w:rPr>
                <w:lang w:val="en-US"/>
              </w:rPr>
            </w:pPr>
            <w:r>
              <w:rPr>
                <w:lang w:val="en-US"/>
              </w:rPr>
              <w:t xml:space="preserve"> -</w:t>
            </w:r>
          </w:p>
          <w:p w:rsidR="0061564F" w:rsidRPr="00B77F75" w:rsidRDefault="0061564F" w:rsidP="0061564F">
            <w:pPr>
              <w:jc w:val="both"/>
              <w:rPr>
                <w:lang w:val="en-US"/>
              </w:rPr>
            </w:pPr>
            <w:r w:rsidRPr="00B77F75">
              <w:rPr>
                <w:lang w:val="en-US"/>
              </w:rPr>
              <w:t xml:space="preserve"> EUR</w:t>
            </w:r>
          </w:p>
        </w:tc>
        <w:tc>
          <w:tcPr>
            <w:tcW w:w="1257" w:type="dxa"/>
          </w:tcPr>
          <w:p w:rsidR="0061564F" w:rsidRPr="00B77F75" w:rsidRDefault="0061564F" w:rsidP="0061564F">
            <w:pPr>
              <w:jc w:val="both"/>
              <w:rPr>
                <w:lang w:val="en-US"/>
              </w:rPr>
            </w:pPr>
            <w:r w:rsidRPr="0061564F">
              <w:rPr>
                <w:lang w:val="en-US"/>
              </w:rPr>
              <w:t>125.744</w:t>
            </w:r>
            <w:r w:rsidRPr="00B77F75">
              <w:rPr>
                <w:lang w:val="en-US"/>
              </w:rPr>
              <w:t xml:space="preserve"> EUR</w:t>
            </w:r>
          </w:p>
        </w:tc>
        <w:tc>
          <w:tcPr>
            <w:tcW w:w="1226" w:type="dxa"/>
          </w:tcPr>
          <w:p w:rsidR="0061564F" w:rsidRDefault="0061564F" w:rsidP="0061564F">
            <w:pPr>
              <w:jc w:val="both"/>
              <w:rPr>
                <w:lang w:val="en-US"/>
              </w:rPr>
            </w:pPr>
            <w:r>
              <w:rPr>
                <w:lang w:val="en-US"/>
              </w:rPr>
              <w:t xml:space="preserve"> -</w:t>
            </w:r>
          </w:p>
          <w:p w:rsidR="0061564F" w:rsidRPr="00B77F75" w:rsidRDefault="0061564F" w:rsidP="0061564F">
            <w:pPr>
              <w:jc w:val="both"/>
              <w:rPr>
                <w:lang w:val="en-US"/>
              </w:rPr>
            </w:pPr>
            <w:r w:rsidRPr="00B77F75">
              <w:rPr>
                <w:lang w:val="en-US"/>
              </w:rPr>
              <w:t xml:space="preserve"> EUR</w:t>
            </w:r>
          </w:p>
        </w:tc>
        <w:tc>
          <w:tcPr>
            <w:tcW w:w="1176" w:type="dxa"/>
          </w:tcPr>
          <w:p w:rsidR="0061564F" w:rsidRDefault="0061564F" w:rsidP="0061564F">
            <w:pPr>
              <w:jc w:val="both"/>
              <w:rPr>
                <w:lang w:val="en-US"/>
              </w:rPr>
            </w:pPr>
            <w:r>
              <w:rPr>
                <w:lang w:val="en-US"/>
              </w:rPr>
              <w:t xml:space="preserve"> -</w:t>
            </w:r>
          </w:p>
          <w:p w:rsidR="0061564F" w:rsidRPr="00B77F75" w:rsidRDefault="0061564F" w:rsidP="0061564F">
            <w:pPr>
              <w:jc w:val="both"/>
              <w:rPr>
                <w:lang w:val="en-US"/>
              </w:rPr>
            </w:pPr>
            <w:r w:rsidRPr="00B77F75">
              <w:rPr>
                <w:lang w:val="en-US"/>
              </w:rPr>
              <w:t xml:space="preserve"> EUR</w:t>
            </w:r>
          </w:p>
        </w:tc>
        <w:tc>
          <w:tcPr>
            <w:tcW w:w="965" w:type="dxa"/>
          </w:tcPr>
          <w:p w:rsidR="0061564F" w:rsidRPr="00B77F75" w:rsidRDefault="0061564F" w:rsidP="0061564F">
            <w:pPr>
              <w:jc w:val="both"/>
              <w:rPr>
                <w:lang w:val="en-US"/>
              </w:rPr>
            </w:pPr>
            <w:r>
              <w:rPr>
                <w:lang w:val="en-US"/>
              </w:rPr>
              <w:t>-</w:t>
            </w:r>
          </w:p>
        </w:tc>
      </w:tr>
    </w:tbl>
    <w:p w:rsidR="00861CCD" w:rsidRPr="00B77F75" w:rsidRDefault="00861CCD" w:rsidP="00C51C46">
      <w:pPr>
        <w:jc w:val="both"/>
        <w:rPr>
          <w:i/>
        </w:rPr>
      </w:pPr>
    </w:p>
    <w:p w:rsidR="003B7440" w:rsidRPr="00C151F1" w:rsidRDefault="003B7440" w:rsidP="003B7440">
      <w:pPr>
        <w:spacing w:before="240"/>
        <w:jc w:val="both"/>
        <w:rPr>
          <w:i/>
        </w:rPr>
      </w:pPr>
      <w:r w:rsidRPr="00C151F1">
        <w:rPr>
          <w:i/>
        </w:rPr>
        <w:t xml:space="preserve">Ova aktivnost/ projekt sastoji se od sljedećih </w:t>
      </w:r>
      <w:proofErr w:type="spellStart"/>
      <w:r w:rsidRPr="00C151F1">
        <w:rPr>
          <w:i/>
        </w:rPr>
        <w:t>podprojekata</w:t>
      </w:r>
      <w:proofErr w:type="spellEnd"/>
      <w:r w:rsidRPr="00C151F1">
        <w:rPr>
          <w:i/>
        </w:rPr>
        <w:t>:</w:t>
      </w:r>
    </w:p>
    <w:p w:rsidR="003B7440" w:rsidRPr="004C0211" w:rsidRDefault="00C151F1" w:rsidP="004C0211">
      <w:pPr>
        <w:pStyle w:val="ListParagraph"/>
        <w:numPr>
          <w:ilvl w:val="0"/>
          <w:numId w:val="41"/>
        </w:numPr>
        <w:jc w:val="both"/>
        <w:rPr>
          <w:i/>
        </w:rPr>
      </w:pPr>
      <w:r w:rsidRPr="004C0211">
        <w:rPr>
          <w:i/>
        </w:rPr>
        <w:t>P</w:t>
      </w:r>
      <w:r w:rsidR="003B7440" w:rsidRPr="004C0211">
        <w:rPr>
          <w:i/>
        </w:rPr>
        <w:t xml:space="preserve">rojekt TESTEAT </w:t>
      </w:r>
    </w:p>
    <w:p w:rsidR="003B7440" w:rsidRDefault="003B7440" w:rsidP="003B7440">
      <w:pPr>
        <w:pStyle w:val="ListParagraph"/>
        <w:ind w:left="1068"/>
        <w:jc w:val="both"/>
        <w:rPr>
          <w:rFonts w:ascii="Times New Roman" w:hAnsi="Times New Roman" w:cs="Times New Roman"/>
          <w:i/>
        </w:rPr>
      </w:pPr>
      <w:r w:rsidRPr="00C151F1">
        <w:rPr>
          <w:rFonts w:ascii="Times New Roman" w:hAnsi="Times New Roman" w:cs="Times New Roman"/>
          <w:i/>
        </w:rPr>
        <w:t xml:space="preserve">Sredstva u visini od </w:t>
      </w:r>
      <w:r w:rsidR="00C151F1">
        <w:rPr>
          <w:rFonts w:ascii="Times New Roman" w:hAnsi="Times New Roman" w:cs="Times New Roman"/>
          <w:i/>
        </w:rPr>
        <w:t xml:space="preserve">52.184 </w:t>
      </w:r>
      <w:r w:rsidRPr="00C151F1">
        <w:rPr>
          <w:rFonts w:ascii="Times New Roman" w:hAnsi="Times New Roman" w:cs="Times New Roman"/>
          <w:i/>
        </w:rPr>
        <w:t xml:space="preserve"> EUR planirana su u 2026 godini</w:t>
      </w:r>
    </w:p>
    <w:p w:rsidR="00C151F1" w:rsidRPr="00C151F1" w:rsidRDefault="00C151F1" w:rsidP="003B7440">
      <w:pPr>
        <w:pStyle w:val="ListParagraph"/>
        <w:ind w:left="1068"/>
        <w:jc w:val="both"/>
        <w:rPr>
          <w:rFonts w:ascii="Times New Roman" w:hAnsi="Times New Roman" w:cs="Times New Roman"/>
          <w:i/>
        </w:rPr>
      </w:pPr>
    </w:p>
    <w:p w:rsidR="003B7440" w:rsidRPr="00323631" w:rsidRDefault="003B7440" w:rsidP="00323631">
      <w:pPr>
        <w:pStyle w:val="ListParagraph"/>
        <w:numPr>
          <w:ilvl w:val="0"/>
          <w:numId w:val="41"/>
        </w:numPr>
        <w:jc w:val="both"/>
        <w:rPr>
          <w:i/>
        </w:rPr>
      </w:pPr>
      <w:r w:rsidRPr="00323631">
        <w:rPr>
          <w:i/>
        </w:rPr>
        <w:t>Projekt FORTIC</w:t>
      </w:r>
    </w:p>
    <w:p w:rsidR="00C151F1" w:rsidRDefault="00C151F1" w:rsidP="00C151F1">
      <w:pPr>
        <w:pStyle w:val="ListParagraph"/>
        <w:ind w:left="1068"/>
        <w:jc w:val="both"/>
        <w:rPr>
          <w:rFonts w:ascii="Times New Roman" w:hAnsi="Times New Roman" w:cs="Times New Roman"/>
          <w:i/>
        </w:rPr>
      </w:pPr>
      <w:r w:rsidRPr="00C151F1">
        <w:rPr>
          <w:rFonts w:ascii="Times New Roman" w:hAnsi="Times New Roman" w:cs="Times New Roman"/>
          <w:i/>
        </w:rPr>
        <w:t xml:space="preserve">Sredstva u visini od </w:t>
      </w:r>
      <w:r>
        <w:rPr>
          <w:rFonts w:ascii="Times New Roman" w:hAnsi="Times New Roman" w:cs="Times New Roman"/>
          <w:i/>
        </w:rPr>
        <w:t xml:space="preserve">38.578 </w:t>
      </w:r>
      <w:r w:rsidRPr="00C151F1">
        <w:rPr>
          <w:rFonts w:ascii="Times New Roman" w:hAnsi="Times New Roman" w:cs="Times New Roman"/>
          <w:i/>
        </w:rPr>
        <w:t xml:space="preserve"> EUR planirana su u 2026 godini</w:t>
      </w:r>
    </w:p>
    <w:p w:rsidR="00C151F1" w:rsidRPr="00C151F1" w:rsidRDefault="00C151F1" w:rsidP="00C151F1">
      <w:pPr>
        <w:pStyle w:val="ListParagraph"/>
        <w:ind w:left="1068"/>
        <w:jc w:val="both"/>
        <w:rPr>
          <w:rFonts w:ascii="Times New Roman" w:hAnsi="Times New Roman" w:cs="Times New Roman"/>
          <w:i/>
        </w:rPr>
      </w:pPr>
    </w:p>
    <w:p w:rsidR="003B7440" w:rsidRPr="00323631" w:rsidRDefault="004A07A4" w:rsidP="00323631">
      <w:pPr>
        <w:pStyle w:val="ListParagraph"/>
        <w:numPr>
          <w:ilvl w:val="0"/>
          <w:numId w:val="41"/>
        </w:numPr>
        <w:jc w:val="both"/>
        <w:rPr>
          <w:i/>
        </w:rPr>
      </w:pPr>
      <w:r w:rsidRPr="00323631">
        <w:rPr>
          <w:i/>
        </w:rPr>
        <w:t>Projekt ARCHAEODIGIT</w:t>
      </w:r>
    </w:p>
    <w:p w:rsidR="00C151F1" w:rsidRDefault="00C151F1" w:rsidP="00C151F1">
      <w:pPr>
        <w:pStyle w:val="ListParagraph"/>
        <w:ind w:left="1068"/>
        <w:jc w:val="both"/>
        <w:rPr>
          <w:rFonts w:ascii="Times New Roman" w:hAnsi="Times New Roman" w:cs="Times New Roman"/>
          <w:i/>
        </w:rPr>
      </w:pPr>
      <w:r w:rsidRPr="00C151F1">
        <w:rPr>
          <w:rFonts w:ascii="Times New Roman" w:hAnsi="Times New Roman" w:cs="Times New Roman"/>
          <w:i/>
        </w:rPr>
        <w:t xml:space="preserve">Sredstva u visini od </w:t>
      </w:r>
      <w:r>
        <w:rPr>
          <w:rFonts w:ascii="Times New Roman" w:hAnsi="Times New Roman" w:cs="Times New Roman"/>
          <w:i/>
        </w:rPr>
        <w:t xml:space="preserve">34.982 </w:t>
      </w:r>
      <w:r w:rsidRPr="00C151F1">
        <w:rPr>
          <w:rFonts w:ascii="Times New Roman" w:hAnsi="Times New Roman" w:cs="Times New Roman"/>
          <w:i/>
        </w:rPr>
        <w:t xml:space="preserve"> EUR planirana su u 2026 godini</w:t>
      </w:r>
    </w:p>
    <w:p w:rsidR="00C151F1" w:rsidRPr="00C151F1" w:rsidRDefault="00C151F1" w:rsidP="00C151F1">
      <w:pPr>
        <w:pStyle w:val="ListParagraph"/>
        <w:ind w:left="1068"/>
        <w:jc w:val="both"/>
        <w:rPr>
          <w:rFonts w:ascii="Times New Roman" w:hAnsi="Times New Roman" w:cs="Times New Roman"/>
          <w:i/>
        </w:rPr>
      </w:pPr>
    </w:p>
    <w:p w:rsidR="00C151F1" w:rsidRPr="00C151F1" w:rsidRDefault="00C151F1" w:rsidP="00C151F1">
      <w:pPr>
        <w:pStyle w:val="ListParagraph"/>
        <w:ind w:left="1068"/>
        <w:jc w:val="both"/>
        <w:rPr>
          <w:rFonts w:ascii="Times New Roman" w:hAnsi="Times New Roman" w:cs="Times New Roman"/>
          <w:i/>
        </w:rPr>
      </w:pPr>
    </w:p>
    <w:p w:rsidR="00921BDD" w:rsidRDefault="00921BDD" w:rsidP="00921BDD">
      <w:pPr>
        <w:spacing w:after="200"/>
        <w:jc w:val="both"/>
        <w:rPr>
          <w:bCs/>
          <w:i/>
          <w:iCs/>
        </w:rPr>
      </w:pPr>
      <w:r w:rsidRPr="00633F08">
        <w:rPr>
          <w:bCs/>
          <w:i/>
          <w:iCs/>
        </w:rPr>
        <w:t>Zbog promjene metodologije 2024. i 2025 godina nisu popunjene.</w:t>
      </w:r>
      <w:r w:rsidRPr="00633F08">
        <w:rPr>
          <w:bCs/>
          <w:i/>
          <w:iCs/>
        </w:rPr>
        <w:tab/>
      </w:r>
    </w:p>
    <w:p w:rsidR="00AA43D1" w:rsidRDefault="00AA43D1" w:rsidP="00921BDD">
      <w:pPr>
        <w:spacing w:after="200"/>
        <w:jc w:val="both"/>
      </w:pPr>
    </w:p>
    <w:p w:rsidR="00AA43D1" w:rsidRDefault="00AA43D1" w:rsidP="00AA43D1">
      <w:pPr>
        <w:pStyle w:val="ListParagraph"/>
        <w:jc w:val="both"/>
        <w:rPr>
          <w:rFonts w:ascii="Times New Roman" w:hAnsi="Times New Roman" w:cs="Times New Roman"/>
          <w:i/>
        </w:rPr>
      </w:pPr>
      <w:r>
        <w:rPr>
          <w:rFonts w:ascii="Times New Roman" w:hAnsi="Times New Roman" w:cs="Times New Roman"/>
          <w:i/>
        </w:rPr>
        <w:t>Nastavno su prikazani ciljevi  i očekivani rezultati u predstojećem planskom razdoblju:</w:t>
      </w:r>
    </w:p>
    <w:tbl>
      <w:tblPr>
        <w:tblStyle w:val="TableGrid"/>
        <w:tblW w:w="9780" w:type="dxa"/>
        <w:jc w:val="center"/>
        <w:tblLayout w:type="fixed"/>
        <w:tblCellMar>
          <w:left w:w="0" w:type="dxa"/>
          <w:right w:w="0" w:type="dxa"/>
        </w:tblCellMar>
        <w:tblLook w:val="04A0" w:firstRow="1" w:lastRow="0" w:firstColumn="1" w:lastColumn="0" w:noHBand="0" w:noVBand="1"/>
      </w:tblPr>
      <w:tblGrid>
        <w:gridCol w:w="1837"/>
        <w:gridCol w:w="1984"/>
        <w:gridCol w:w="1275"/>
        <w:gridCol w:w="998"/>
        <w:gridCol w:w="1134"/>
        <w:gridCol w:w="851"/>
        <w:gridCol w:w="850"/>
        <w:gridCol w:w="851"/>
      </w:tblGrid>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A43D1" w:rsidRDefault="00AA43D1">
            <w:pPr>
              <w:jc w:val="center"/>
              <w:rPr>
                <w:sz w:val="20"/>
              </w:rPr>
            </w:pPr>
            <w:r>
              <w:rPr>
                <w:sz w:val="20"/>
              </w:rPr>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A43D1" w:rsidRDefault="00AA43D1">
            <w:pPr>
              <w:jc w:val="center"/>
              <w:rPr>
                <w:sz w:val="20"/>
              </w:rPr>
            </w:pPr>
            <w:r>
              <w:rPr>
                <w:sz w:val="20"/>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A43D1" w:rsidRDefault="00AA43D1">
            <w:pPr>
              <w:jc w:val="center"/>
              <w:rPr>
                <w:sz w:val="20"/>
              </w:rPr>
            </w:pPr>
            <w:r>
              <w:rPr>
                <w:sz w:val="20"/>
              </w:rPr>
              <w:t>Jedinica</w:t>
            </w:r>
          </w:p>
        </w:tc>
        <w:tc>
          <w:tcPr>
            <w:tcW w:w="9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A43D1" w:rsidRDefault="00AA43D1">
            <w:pPr>
              <w:jc w:val="center"/>
              <w:rPr>
                <w:sz w:val="20"/>
              </w:rPr>
            </w:pPr>
            <w:r>
              <w:rPr>
                <w:sz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A43D1" w:rsidRDefault="00AA43D1">
            <w:pPr>
              <w:jc w:val="center"/>
              <w:rPr>
                <w:sz w:val="20"/>
              </w:rPr>
            </w:pPr>
            <w:r>
              <w:rPr>
                <w:sz w:val="20"/>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A43D1" w:rsidRDefault="00AA43D1">
            <w:pPr>
              <w:jc w:val="center"/>
              <w:rPr>
                <w:sz w:val="20"/>
              </w:rPr>
            </w:pPr>
            <w:r>
              <w:rPr>
                <w:sz w:val="20"/>
              </w:rPr>
              <w:t>Ciljana vrijednost za 2026.</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A43D1" w:rsidRDefault="00AA43D1">
            <w:pPr>
              <w:jc w:val="center"/>
              <w:rPr>
                <w:sz w:val="20"/>
              </w:rPr>
            </w:pPr>
            <w:r>
              <w:rPr>
                <w:sz w:val="20"/>
              </w:rPr>
              <w:t>Ciljana vrijednost za 2027.</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A43D1" w:rsidRDefault="00AA43D1">
            <w:pPr>
              <w:jc w:val="center"/>
              <w:rPr>
                <w:sz w:val="20"/>
              </w:rPr>
            </w:pPr>
            <w:r>
              <w:rPr>
                <w:sz w:val="20"/>
              </w:rPr>
              <w:t>Ciljana vrijednost za 2028.</w:t>
            </w: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A43D1" w:rsidRDefault="00AA43D1">
            <w:pP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A43D1" w:rsidRDefault="00AA43D1">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A43D1" w:rsidRDefault="00AA43D1">
            <w:pPr>
              <w:jc w:val="center"/>
              <w:rPr>
                <w:sz w:val="20"/>
              </w:rPr>
            </w:pPr>
          </w:p>
        </w:tc>
        <w:tc>
          <w:tcPr>
            <w:tcW w:w="9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A43D1" w:rsidRDefault="00AA43D1">
            <w:pPr>
              <w:jc w:val="cente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A43D1" w:rsidRDefault="00AA43D1">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A43D1" w:rsidRDefault="00AA43D1">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43D1" w:rsidRDefault="00AA43D1">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43D1" w:rsidRDefault="00AA43D1">
            <w:pPr>
              <w:jc w:val="center"/>
              <w:rPr>
                <w:sz w:val="20"/>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sz w:val="20"/>
              </w:rPr>
            </w:pPr>
          </w:p>
          <w:p w:rsidR="00AA43D1" w:rsidRDefault="00AA43D1">
            <w:pPr>
              <w:jc w:val="center"/>
              <w:rPr>
                <w:sz w:val="20"/>
              </w:rPr>
            </w:pPr>
          </w:p>
          <w:p w:rsidR="00AA43D1" w:rsidRDefault="00AA43D1">
            <w:pPr>
              <w:jc w:val="center"/>
              <w:rPr>
                <w:sz w:val="20"/>
              </w:rPr>
            </w:pPr>
            <w:r>
              <w:rPr>
                <w:sz w:val="20"/>
              </w:rPr>
              <w:t>Broj nastavnog i nenastavnog osoblja uključenih u projekte prekogranične suradnje</w:t>
            </w:r>
          </w:p>
          <w:p w:rsidR="00AA43D1" w:rsidRDefault="00AA43D1">
            <w:pPr>
              <w:jc w:val="center"/>
              <w:rPr>
                <w:sz w:val="20"/>
              </w:rPr>
            </w:pPr>
          </w:p>
          <w:p w:rsidR="00AA43D1" w:rsidRDefault="00AA43D1">
            <w:pPr>
              <w:jc w:val="center"/>
              <w:rPr>
                <w:sz w:val="20"/>
              </w:rPr>
            </w:pPr>
          </w:p>
          <w:p w:rsidR="00AA43D1" w:rsidRDefault="00AA43D1">
            <w:pPr>
              <w:jc w:val="center"/>
              <w:rPr>
                <w:sz w:val="20"/>
              </w:rPr>
            </w:pPr>
          </w:p>
          <w:p w:rsidR="00AA43D1" w:rsidRDefault="00AA43D1">
            <w:pPr>
              <w:jc w:val="center"/>
              <w:rPr>
                <w:sz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Poticanje sudjelovanja u međunarodnoj razmjeni znanja i zajedničkom radu na projektima i istraživanjima na međunarodnom nivou</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Broj nastavnog/nenastavnog osoblja</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15</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t>Broj studenata uključenih u međunarodne tematske programe razmjene u suradnji s nastavnim i nenastavnim osobljem</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Poticanje kreiranja inovativnih rješenja za lokalne, regionalne i međunarodne probleme u suradnji međunarodnih timova studenata, nastavnog i nenastavnog osoblja u zemlji i inozemstvu</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Broj studenata i nastavnog/nenastavnog osoblja</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50 (2025)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20</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lastRenderedPageBreak/>
              <w:t xml:space="preserve">Broj alata razvijenih pomoću novih tehnologija- </w:t>
            </w:r>
            <w:proofErr w:type="spellStart"/>
            <w:r>
              <w:rPr>
                <w:sz w:val="20"/>
              </w:rPr>
              <w:t>Metaverse</w:t>
            </w:r>
            <w:proofErr w:type="spellEnd"/>
            <w:r>
              <w:rPr>
                <w:sz w:val="20"/>
              </w:rPr>
              <w:t xml:space="preserve"> sadržaj za tvrđavu Sv. Mihovila</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 xml:space="preserve">Razvoj </w:t>
            </w:r>
            <w:proofErr w:type="spellStart"/>
            <w:r>
              <w:rPr>
                <w:iCs/>
                <w:sz w:val="20"/>
              </w:rPr>
              <w:t>inovatovnih</w:t>
            </w:r>
            <w:proofErr w:type="spellEnd"/>
            <w:r>
              <w:rPr>
                <w:iCs/>
                <w:sz w:val="20"/>
              </w:rPr>
              <w:t xml:space="preserve"> rješenja za sadržaje u kulturi, turizmu i ICT-u koji su primjenjivi za korištenje u nastavnim procesima</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Broj razvijenih alata</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1</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t xml:space="preserve">Broj opreme za razvoj </w:t>
            </w:r>
            <w:proofErr w:type="spellStart"/>
            <w:r>
              <w:rPr>
                <w:sz w:val="20"/>
              </w:rPr>
              <w:t>neuroznanstvenog</w:t>
            </w:r>
            <w:proofErr w:type="spellEnd"/>
            <w:r>
              <w:rPr>
                <w:sz w:val="20"/>
              </w:rPr>
              <w:t xml:space="preserve"> laboratorija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 xml:space="preserve">Razvoj novih nastavnih metoda i istraživanja korištenjem opreme za </w:t>
            </w:r>
            <w:proofErr w:type="spellStart"/>
            <w:r>
              <w:rPr>
                <w:iCs/>
                <w:sz w:val="20"/>
              </w:rPr>
              <w:t>neuroznanstvena</w:t>
            </w:r>
            <w:proofErr w:type="spellEnd"/>
            <w:r>
              <w:rPr>
                <w:iCs/>
                <w:sz w:val="20"/>
              </w:rPr>
              <w:t xml:space="preserve"> istraživanja</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Komad opreme</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2</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t xml:space="preserve">Broj razvijenih online sadržaja za poučavanje u na </w:t>
            </w:r>
            <w:proofErr w:type="spellStart"/>
            <w:r>
              <w:rPr>
                <w:sz w:val="20"/>
              </w:rPr>
              <w:t>ensleskom</w:t>
            </w:r>
            <w:proofErr w:type="spellEnd"/>
            <w:r>
              <w:rPr>
                <w:sz w:val="20"/>
              </w:rPr>
              <w:t xml:space="preserve"> </w:t>
            </w:r>
            <w:proofErr w:type="spellStart"/>
            <w:r>
              <w:rPr>
                <w:sz w:val="20"/>
              </w:rPr>
              <w:t>jezku</w:t>
            </w:r>
            <w:proofErr w:type="spellEnd"/>
            <w:r>
              <w:rPr>
                <w:sz w:val="20"/>
              </w:rPr>
              <w:t xml:space="preserve"> u okviru međunarodnih programa suradnje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Razvoj novih nastavnih sadržaja za online poučavanje na engleskom jeziku</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 xml:space="preserve">Broj programa </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3</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t>Broj znanstvenih radova u međunarodnoj suradnji na projektima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Izrada znanstvenih radova temeljenih na rezultatima istraživanja provedenih na projektima međunarodne suradnje</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Broj radova</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1 (2025)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3</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t xml:space="preserve">Broj inovativnih rješenja/alata/procesa kreiranih u suradnji s institucijama i gospodarstvom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Izrada inovativnih rješenja te novih koncepata, proizvoda i usluga usklađena s potrebama gospodarstva i stanovnika</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 xml:space="preserve">Broj </w:t>
            </w:r>
            <w:r>
              <w:rPr>
                <w:sz w:val="20"/>
              </w:rPr>
              <w:t>rješenja/alata/procesa</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1 (2025)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1</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r w:rsidR="00AA43D1" w:rsidTr="00AA43D1">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sz w:val="20"/>
              </w:rPr>
            </w:pPr>
            <w:r>
              <w:rPr>
                <w:sz w:val="20"/>
              </w:rPr>
              <w:t>Broj međunarodnih konferencija</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rPr>
                <w:iCs/>
                <w:sz w:val="20"/>
              </w:rPr>
            </w:pPr>
            <w:r>
              <w:rPr>
                <w:iCs/>
                <w:sz w:val="20"/>
              </w:rPr>
              <w:t>Organizacija tematskih međunarodnih konferencija</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Broj konferencija</w:t>
            </w:r>
          </w:p>
        </w:tc>
        <w:tc>
          <w:tcPr>
            <w:tcW w:w="998"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1 (2025)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sz w:val="20"/>
              </w:rPr>
            </w:pPr>
            <w:r>
              <w:rPr>
                <w:i/>
                <w:sz w:val="20"/>
              </w:rPr>
              <w:t>Sveučilište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A43D1" w:rsidRDefault="00AA43D1">
            <w:pPr>
              <w:jc w:val="center"/>
              <w:rPr>
                <w:i/>
              </w:rPr>
            </w:pPr>
            <w:r>
              <w:rPr>
                <w:i/>
              </w:rPr>
              <w:t>1</w:t>
            </w:r>
          </w:p>
        </w:tc>
        <w:tc>
          <w:tcPr>
            <w:tcW w:w="850" w:type="dxa"/>
            <w:tcBorders>
              <w:top w:val="single" w:sz="4" w:space="0" w:color="auto"/>
              <w:left w:val="single" w:sz="4" w:space="0" w:color="auto"/>
              <w:bottom w:val="single" w:sz="4" w:space="0" w:color="auto"/>
              <w:right w:val="single" w:sz="4" w:space="0" w:color="auto"/>
            </w:tcBorders>
            <w:vAlign w:val="center"/>
          </w:tcPr>
          <w:p w:rsidR="00AA43D1" w:rsidRDefault="00AA43D1">
            <w:pPr>
              <w:rPr>
                <w:i/>
              </w:rPr>
            </w:pPr>
          </w:p>
        </w:tc>
        <w:tc>
          <w:tcPr>
            <w:tcW w:w="851" w:type="dxa"/>
            <w:tcBorders>
              <w:top w:val="single" w:sz="4" w:space="0" w:color="auto"/>
              <w:left w:val="single" w:sz="4" w:space="0" w:color="auto"/>
              <w:bottom w:val="single" w:sz="4" w:space="0" w:color="auto"/>
              <w:right w:val="single" w:sz="4" w:space="0" w:color="auto"/>
            </w:tcBorders>
            <w:vAlign w:val="center"/>
          </w:tcPr>
          <w:p w:rsidR="00AA43D1" w:rsidRDefault="00AA43D1">
            <w:pPr>
              <w:jc w:val="center"/>
              <w:rPr>
                <w:i/>
              </w:rPr>
            </w:pPr>
          </w:p>
        </w:tc>
      </w:tr>
    </w:tbl>
    <w:p w:rsidR="00AA43D1" w:rsidRPr="00633F08" w:rsidRDefault="00AA43D1" w:rsidP="00921BDD">
      <w:pPr>
        <w:spacing w:after="200"/>
        <w:jc w:val="both"/>
      </w:pPr>
    </w:p>
    <w:p w:rsidR="003B4E58" w:rsidRPr="00AF0937" w:rsidRDefault="003B4E58" w:rsidP="003B4E58">
      <w:pPr>
        <w:pBdr>
          <w:top w:val="dotted" w:sz="4" w:space="1" w:color="808080" w:themeColor="background1" w:themeShade="80"/>
          <w:bottom w:val="dotted" w:sz="4" w:space="1" w:color="808080" w:themeColor="background1" w:themeShade="80"/>
        </w:pBdr>
        <w:shd w:val="clear" w:color="auto" w:fill="D0CECE" w:themeFill="background2" w:themeFillShade="E6"/>
        <w:jc w:val="both"/>
        <w:rPr>
          <w:sz w:val="28"/>
          <w:szCs w:val="28"/>
        </w:rPr>
      </w:pPr>
      <w:r w:rsidRPr="00AF0937">
        <w:rPr>
          <w:sz w:val="28"/>
          <w:szCs w:val="28"/>
        </w:rPr>
        <w:t>A679132</w:t>
      </w:r>
      <w:r w:rsidR="001B463C">
        <w:rPr>
          <w:sz w:val="28"/>
          <w:szCs w:val="28"/>
        </w:rPr>
        <w:t xml:space="preserve"> -</w:t>
      </w:r>
      <w:r w:rsidRPr="00AF0937">
        <w:rPr>
          <w:sz w:val="28"/>
          <w:szCs w:val="28"/>
        </w:rPr>
        <w:t xml:space="preserve"> PROGRAM PREKOGRANIČNE SURADNJE - IZ EVIDENCIJSKIH PRIHODA</w:t>
      </w:r>
    </w:p>
    <w:p w:rsidR="003B4E58" w:rsidRPr="00B77F75" w:rsidRDefault="003B4E58" w:rsidP="003B4E58">
      <w:pPr>
        <w:jc w:val="both"/>
        <w:rPr>
          <w:i/>
        </w:rPr>
      </w:pPr>
    </w:p>
    <w:p w:rsidR="00CC59C9" w:rsidRDefault="00CC59C9" w:rsidP="003B4E58">
      <w:pPr>
        <w:jc w:val="both"/>
        <w:rPr>
          <w:i/>
        </w:rPr>
      </w:pPr>
    </w:p>
    <w:p w:rsidR="00CC59C9" w:rsidRDefault="00CC59C9" w:rsidP="003B4E58">
      <w:pPr>
        <w:jc w:val="both"/>
        <w:rPr>
          <w:i/>
        </w:rPr>
      </w:pPr>
    </w:p>
    <w:p w:rsidR="003B4E58" w:rsidRPr="00C2053E" w:rsidRDefault="003B4E58" w:rsidP="003B4E58">
      <w:pPr>
        <w:jc w:val="both"/>
        <w:rPr>
          <w:i/>
        </w:rPr>
      </w:pPr>
      <w:r w:rsidRPr="00C2053E">
        <w:rPr>
          <w:i/>
        </w:rPr>
        <w:t>Zakonske i druge pravne osnove</w:t>
      </w:r>
    </w:p>
    <w:p w:rsidR="003B4E58" w:rsidRPr="00C2053E" w:rsidRDefault="003B4E58" w:rsidP="003B4E58">
      <w:pPr>
        <w:jc w:val="both"/>
        <w:rPr>
          <w:i/>
        </w:rPr>
      </w:pPr>
    </w:p>
    <w:p w:rsidR="003B4E58" w:rsidRPr="00C2053E" w:rsidRDefault="003B4E58" w:rsidP="003B4E58">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Zakon o visokom obrazovanju i znanstvenoj djelatnosti (NN 119/22)</w:t>
      </w:r>
    </w:p>
    <w:p w:rsidR="003B4E58" w:rsidRPr="00C2053E" w:rsidRDefault="003B4E58" w:rsidP="003B4E58">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Zakon o osiguravanju kvalitete u visokom obrazovanju i znanosti (NN 151/22)</w:t>
      </w:r>
    </w:p>
    <w:p w:rsidR="003B4E58" w:rsidRPr="00C2053E" w:rsidRDefault="003B4E58" w:rsidP="003B4E58">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Zakon o Hrvatskom kvalifikacijskom okviru (NN22/13, 64/18 i 20/21)</w:t>
      </w:r>
    </w:p>
    <w:p w:rsidR="003B4E58" w:rsidRPr="00C2053E" w:rsidRDefault="003B4E58" w:rsidP="003B4E58">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Nacionalni plan razvoja sustava obrazovanja za razdoblje do 2027. godine</w:t>
      </w:r>
    </w:p>
    <w:p w:rsidR="003B4E58" w:rsidRPr="00C2053E" w:rsidRDefault="003B4E58" w:rsidP="003B4E58">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Plan razvoja obrazovanja Istarske županije do 2030.godine</w:t>
      </w:r>
    </w:p>
    <w:p w:rsidR="003B4E58" w:rsidRPr="00C2053E" w:rsidRDefault="003B4E58" w:rsidP="003B4E58">
      <w:pPr>
        <w:pStyle w:val="ListParagraph"/>
        <w:numPr>
          <w:ilvl w:val="0"/>
          <w:numId w:val="8"/>
        </w:numPr>
        <w:jc w:val="both"/>
        <w:rPr>
          <w:iCs/>
          <w:lang w:bidi="ta-IN"/>
        </w:rPr>
      </w:pPr>
      <w:r w:rsidRPr="00C2053E">
        <w:rPr>
          <w:rFonts w:ascii="Times New Roman" w:eastAsia="Times New Roman" w:hAnsi="Times New Roman" w:cs="Times New Roman"/>
          <w:sz w:val="24"/>
          <w:szCs w:val="24"/>
          <w:lang w:eastAsia="en-GB"/>
        </w:rPr>
        <w:t>Strategija razvoja urbanog područja Pula 2021-2027</w:t>
      </w:r>
    </w:p>
    <w:p w:rsidR="003B4E58" w:rsidRPr="00C2053E" w:rsidRDefault="003B4E58" w:rsidP="003B4E58">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Uredba o programskom financiranju javnih visokih učilišta i javnih znanstvenih instituta u Republici Hrvatskoj  NN 78/2023</w:t>
      </w:r>
    </w:p>
    <w:p w:rsidR="003B4E58" w:rsidRPr="00C2053E" w:rsidRDefault="003B4E58" w:rsidP="003B4E58">
      <w:pPr>
        <w:pStyle w:val="ListParagraph"/>
        <w:numPr>
          <w:ilvl w:val="0"/>
          <w:numId w:val="8"/>
        </w:numPr>
        <w:jc w:val="both"/>
        <w:rPr>
          <w:iCs/>
          <w:lang w:bidi="ta-IN"/>
        </w:rPr>
      </w:pPr>
      <w:r w:rsidRPr="00C2053E">
        <w:rPr>
          <w:rFonts w:ascii="Times New Roman" w:eastAsia="Times New Roman" w:hAnsi="Times New Roman" w:cs="Times New Roman"/>
          <w:sz w:val="24"/>
          <w:szCs w:val="24"/>
          <w:lang w:eastAsia="en-GB"/>
        </w:rPr>
        <w:t xml:space="preserve">Strategija razvoja karijera za istraživače Sveučilišta Jurja Dobrile u Puli (2024.-2028.) </w:t>
      </w:r>
    </w:p>
    <w:p w:rsidR="003B4E58" w:rsidRPr="00C2053E" w:rsidRDefault="003B4E58" w:rsidP="003B4E58">
      <w:pPr>
        <w:pStyle w:val="ListParagraph"/>
        <w:numPr>
          <w:ilvl w:val="0"/>
          <w:numId w:val="8"/>
        </w:numPr>
        <w:jc w:val="both"/>
        <w:rPr>
          <w:iCs/>
          <w:lang w:bidi="ta-IN"/>
        </w:rPr>
      </w:pPr>
      <w:r w:rsidRPr="00C2053E">
        <w:rPr>
          <w:iCs/>
          <w:lang w:bidi="ta-IN"/>
        </w:rPr>
        <w:t>Istraživačka umjetnička strategija Sveučilišta Jurja Dobrile u Puli (2022.-2026.)</w:t>
      </w:r>
    </w:p>
    <w:p w:rsidR="003B4E58" w:rsidRPr="00C2053E" w:rsidRDefault="003B4E58" w:rsidP="003B4E58">
      <w:pPr>
        <w:pStyle w:val="ListParagraph"/>
        <w:numPr>
          <w:ilvl w:val="0"/>
          <w:numId w:val="8"/>
        </w:numPr>
        <w:jc w:val="both"/>
        <w:rPr>
          <w:iCs/>
          <w:lang w:bidi="ta-IN"/>
        </w:rPr>
      </w:pPr>
      <w:r w:rsidRPr="00C2053E">
        <w:rPr>
          <w:iCs/>
          <w:lang w:bidi="ta-IN"/>
        </w:rPr>
        <w:t>Strategija razvoja Sveučilišta Jurja Dobrile u Puli (2021-2026)</w:t>
      </w:r>
    </w:p>
    <w:p w:rsidR="003B4E58" w:rsidRPr="00C2053E" w:rsidRDefault="003B4E58" w:rsidP="003B4E58">
      <w:pPr>
        <w:pStyle w:val="ListParagraph"/>
        <w:numPr>
          <w:ilvl w:val="0"/>
          <w:numId w:val="8"/>
        </w:numPr>
        <w:jc w:val="both"/>
        <w:rPr>
          <w:iCs/>
          <w:lang w:bidi="ta-IN"/>
        </w:rPr>
      </w:pPr>
      <w:r w:rsidRPr="00C2053E">
        <w:rPr>
          <w:iCs/>
          <w:lang w:bidi="ta-IN"/>
        </w:rPr>
        <w:lastRenderedPageBreak/>
        <w:t>Istraživačka strategija Sveučilišta Jurja Dobrile u Puli (2021.-2026.)</w:t>
      </w:r>
    </w:p>
    <w:p w:rsidR="003B4E58" w:rsidRPr="00C2053E" w:rsidRDefault="003B4E58" w:rsidP="003B4E58">
      <w:pPr>
        <w:pStyle w:val="ListParagraph"/>
        <w:numPr>
          <w:ilvl w:val="0"/>
          <w:numId w:val="8"/>
        </w:numPr>
        <w:jc w:val="both"/>
        <w:rPr>
          <w:iCs/>
          <w:lang w:bidi="ta-IN"/>
        </w:rPr>
      </w:pPr>
      <w:r w:rsidRPr="00C2053E">
        <w:rPr>
          <w:iCs/>
          <w:lang w:bidi="ta-IN"/>
        </w:rPr>
        <w:t>Pravilnik o mjerilima i načinu korištenja namjenskih prihoda proračunskih korisnika iz nadležnosti ministarstva znanosti, obrazovanja i mladih NN 79/2024</w:t>
      </w:r>
    </w:p>
    <w:p w:rsidR="003B4E58" w:rsidRPr="00C2053E" w:rsidRDefault="003B4E58" w:rsidP="003B4E58">
      <w:pPr>
        <w:pStyle w:val="ListParagraph"/>
        <w:numPr>
          <w:ilvl w:val="0"/>
          <w:numId w:val="8"/>
        </w:numPr>
        <w:jc w:val="both"/>
        <w:rPr>
          <w:iCs/>
          <w:lang w:bidi="ta-IN"/>
        </w:rPr>
      </w:pPr>
      <w:r w:rsidRPr="00C2053E">
        <w:rPr>
          <w:iCs/>
          <w:lang w:bidi="ta-IN"/>
        </w:rPr>
        <w:t>Pravilnik o mjerilima i načinu korištenja nenamjenskih donacija i vlastitih  prihoda proračunskih korisnika iz nadležnosti ministarstva znanosti, obrazovanja i mladih NN 79/2024</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Ugovor o Europskoj uniji (pročišćena verzija, SL C 202, 7.6.2016.)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Ugovor o funkcioniranju Europske unije (pročišćena verzija, SL C 202, 7.6.2016.)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C2053E">
        <w:rPr>
          <w:rFonts w:ascii="Times New Roman" w:hAnsi="Times New Roman" w:cs="Times New Roman"/>
          <w:iCs/>
          <w:sz w:val="24"/>
          <w:szCs w:val="24"/>
          <w:lang w:bidi="ta-IN"/>
        </w:rPr>
        <w:t>vizne</w:t>
      </w:r>
      <w:proofErr w:type="spellEnd"/>
      <w:r w:rsidRPr="00C2053E">
        <w:rPr>
          <w:rFonts w:ascii="Times New Roman" w:hAnsi="Times New Roman" w:cs="Times New Roman"/>
          <w:iCs/>
          <w:sz w:val="24"/>
          <w:szCs w:val="24"/>
          <w:lang w:bidi="ta-IN"/>
        </w:rPr>
        <w:t xml:space="preserve"> politike (SL L 231, 30.6.2021.)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Uredbu (EU) br. 2021/1058 Europskog parlamenta i Vijeća od 24. lipnja 2021. o Europskom fondu za regionalni razvoj i Kohezijskom fondu (SL L 231, 30.6.2021.)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Uredbu (EU) br. 2021/1056 Europskog parlamenta i Vijeća od 24. lipnja 2021. o uspostavi Fonda za pravednu tranziciju (SL L 231, 30.6.2021.)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Uredbu (EU, Euratom) 2024/2509 Europskog parlamenta i Vijeća od 23. rujna 2024. o financijskim pravilima koja se primjenjuju na opći proračun Unije (preinaka) (SL L 2024/2509, 26.9.2024.)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Uredbu (EU) 2016/679 Europskog parlamenta i Vijeća od 27. travnja 2016. o zaštiti pojedinaca u vezi s obradom osobnih podataka i o slobodnom kretanju takvih te o stavljanju izvan snage Direktive 95/46/EZ (Opća uredba o zaštiti podataka) (SL L 119, 4.5.2016.)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 xml:space="preserve">Povelju Europske unije o temeljnim pravima (SL C 202, 7.6.2016.)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rPr>
          <w:rFonts w:ascii="Times New Roman" w:hAnsi="Times New Roman" w:cs="Times New Roman"/>
          <w:iCs/>
          <w:sz w:val="24"/>
          <w:szCs w:val="24"/>
          <w:lang w:bidi="ta-IN"/>
        </w:rPr>
        <w:t>Smjernice o osiguravanju poštovanja Povelje Europske unije o temeljnim pravima pri provedbi europskih strukturnih i investicijskih fondova (SL C 269, 23.7.2016.).</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Ugovor o pristupanju Republike Hrvatske Europskoj uniji (NN, Međunarodni ugovori, br. 2/2012) (Ugovor o pristupanju)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Nacionalna klasifikacija statističkih regija 2021. (HR_NUTS 2021) (NN, broj 125/19)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Zakon o sustavu strateškog planiranja i upravljanja razvojem Republike Hrvatske (NN 123/17, 151/22)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Zakon o regionalnom razvoju Republike Hrvatske (NN 147/14, 123/17, 118/18)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Zakon o lokalnoj i područnoj (regionalnoj) samoupravi (NN 33/01, 60/01, 129/05, 109/07, 125/08, 36/09, 150/11, 144/12, 19/13, 137/15, 123/17, 98/19, 144/20)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Zakon o područjima županija, gradova i općina u Republici Hrvatskoj (NN 86/06, 125/06, 16/07, 95/08, 46/10, 145/10, 37/13, 44/13, 45/13, 110/15)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Zakon o regionalnom razvoju Republike Hrvatske (NN 147/14, 123/17, 118/18) </w:t>
      </w:r>
    </w:p>
    <w:p w:rsidR="003B4E58" w:rsidRPr="00C2053E" w:rsidRDefault="003B4E58" w:rsidP="003B4E58">
      <w:pPr>
        <w:pStyle w:val="ListParagraph"/>
        <w:numPr>
          <w:ilvl w:val="0"/>
          <w:numId w:val="8"/>
        </w:numPr>
        <w:spacing w:line="256" w:lineRule="auto"/>
        <w:jc w:val="both"/>
        <w:rPr>
          <w:rFonts w:ascii="Times New Roman" w:hAnsi="Times New Roman" w:cs="Times New Roman"/>
          <w:iCs/>
          <w:sz w:val="24"/>
          <w:szCs w:val="24"/>
          <w:lang w:bidi="ta-IN"/>
        </w:rPr>
      </w:pPr>
      <w:r w:rsidRPr="00C2053E">
        <w:t xml:space="preserve">Uredba o indeksu razvijenosti (NN 131/17) </w:t>
      </w:r>
    </w:p>
    <w:tbl>
      <w:tblPr>
        <w:tblStyle w:val="TableGrid"/>
        <w:tblW w:w="0" w:type="auto"/>
        <w:tblLook w:val="04A0" w:firstRow="1" w:lastRow="0" w:firstColumn="1" w:lastColumn="0" w:noHBand="0" w:noVBand="1"/>
      </w:tblPr>
      <w:tblGrid>
        <w:gridCol w:w="1980"/>
        <w:gridCol w:w="1282"/>
        <w:gridCol w:w="1176"/>
        <w:gridCol w:w="1257"/>
        <w:gridCol w:w="1226"/>
        <w:gridCol w:w="1176"/>
        <w:gridCol w:w="965"/>
      </w:tblGrid>
      <w:tr w:rsidR="003B4E58" w:rsidRPr="00C2053E" w:rsidTr="002525DA">
        <w:tc>
          <w:tcPr>
            <w:tcW w:w="1980" w:type="dxa"/>
            <w:shd w:val="clear" w:color="auto" w:fill="D0CECE" w:themeFill="background2" w:themeFillShade="E6"/>
          </w:tcPr>
          <w:p w:rsidR="003B4E58" w:rsidRPr="00C2053E" w:rsidRDefault="003B4E58" w:rsidP="002525DA">
            <w:pPr>
              <w:jc w:val="both"/>
            </w:pPr>
          </w:p>
          <w:p w:rsidR="003B4E58" w:rsidRPr="00C2053E" w:rsidRDefault="003B4E58" w:rsidP="002525DA">
            <w:pPr>
              <w:jc w:val="both"/>
            </w:pPr>
          </w:p>
        </w:tc>
        <w:tc>
          <w:tcPr>
            <w:tcW w:w="1282" w:type="dxa"/>
            <w:shd w:val="clear" w:color="auto" w:fill="D0CECE" w:themeFill="background2" w:themeFillShade="E6"/>
            <w:vAlign w:val="center"/>
          </w:tcPr>
          <w:p w:rsidR="003B4E58" w:rsidRPr="00C2053E" w:rsidRDefault="003B4E58" w:rsidP="002525DA">
            <w:pPr>
              <w:jc w:val="center"/>
            </w:pPr>
            <w:r w:rsidRPr="00C2053E">
              <w:t>Izvršenje 2024.</w:t>
            </w:r>
          </w:p>
        </w:tc>
        <w:tc>
          <w:tcPr>
            <w:tcW w:w="1176" w:type="dxa"/>
            <w:shd w:val="clear" w:color="auto" w:fill="D0CECE" w:themeFill="background2" w:themeFillShade="E6"/>
            <w:vAlign w:val="center"/>
          </w:tcPr>
          <w:p w:rsidR="003B4E58" w:rsidRPr="00C2053E" w:rsidRDefault="003B4E58" w:rsidP="002525DA">
            <w:pPr>
              <w:jc w:val="center"/>
            </w:pPr>
            <w:r w:rsidRPr="00C2053E">
              <w:t>Plan 2025.</w:t>
            </w:r>
          </w:p>
        </w:tc>
        <w:tc>
          <w:tcPr>
            <w:tcW w:w="1257" w:type="dxa"/>
            <w:shd w:val="clear" w:color="auto" w:fill="D0CECE" w:themeFill="background2" w:themeFillShade="E6"/>
            <w:vAlign w:val="center"/>
          </w:tcPr>
          <w:p w:rsidR="003B4E58" w:rsidRPr="00C2053E" w:rsidRDefault="003B4E58" w:rsidP="002525DA">
            <w:pPr>
              <w:jc w:val="center"/>
            </w:pPr>
            <w:r w:rsidRPr="00C2053E">
              <w:t>Plan 2026.</w:t>
            </w:r>
          </w:p>
        </w:tc>
        <w:tc>
          <w:tcPr>
            <w:tcW w:w="1226" w:type="dxa"/>
            <w:shd w:val="clear" w:color="auto" w:fill="D0CECE" w:themeFill="background2" w:themeFillShade="E6"/>
            <w:vAlign w:val="center"/>
          </w:tcPr>
          <w:p w:rsidR="003B4E58" w:rsidRPr="00C2053E" w:rsidRDefault="003B4E58" w:rsidP="002525DA">
            <w:pPr>
              <w:jc w:val="center"/>
            </w:pPr>
            <w:r w:rsidRPr="00C2053E">
              <w:t>Plan 2027.</w:t>
            </w:r>
          </w:p>
        </w:tc>
        <w:tc>
          <w:tcPr>
            <w:tcW w:w="1176" w:type="dxa"/>
            <w:shd w:val="clear" w:color="auto" w:fill="D0CECE" w:themeFill="background2" w:themeFillShade="E6"/>
            <w:vAlign w:val="center"/>
          </w:tcPr>
          <w:p w:rsidR="003B4E58" w:rsidRPr="00C2053E" w:rsidRDefault="003B4E58" w:rsidP="002525DA">
            <w:pPr>
              <w:jc w:val="center"/>
            </w:pPr>
            <w:r w:rsidRPr="00C2053E">
              <w:t>Plan 2028.</w:t>
            </w:r>
          </w:p>
        </w:tc>
        <w:tc>
          <w:tcPr>
            <w:tcW w:w="965" w:type="dxa"/>
            <w:shd w:val="clear" w:color="auto" w:fill="D0CECE" w:themeFill="background2" w:themeFillShade="E6"/>
            <w:vAlign w:val="center"/>
          </w:tcPr>
          <w:p w:rsidR="003B4E58" w:rsidRPr="00C2053E" w:rsidRDefault="003B4E58" w:rsidP="002525DA">
            <w:pPr>
              <w:jc w:val="center"/>
            </w:pPr>
            <w:r w:rsidRPr="00C2053E">
              <w:t>Indeks 26./2.</w:t>
            </w:r>
          </w:p>
        </w:tc>
      </w:tr>
      <w:tr w:rsidR="003B4E58" w:rsidRPr="00C2053E" w:rsidTr="002525DA">
        <w:tc>
          <w:tcPr>
            <w:tcW w:w="1980" w:type="dxa"/>
          </w:tcPr>
          <w:p w:rsidR="003B4E58" w:rsidRPr="00C2053E" w:rsidRDefault="003B4E58" w:rsidP="002525DA">
            <w:r w:rsidRPr="00C2053E">
              <w:t>Šifra aktivnosti/ programa</w:t>
            </w:r>
          </w:p>
          <w:p w:rsidR="003B4E58" w:rsidRPr="00C2053E" w:rsidRDefault="003B4E58" w:rsidP="002525DA">
            <w:pPr>
              <w:rPr>
                <w:sz w:val="20"/>
                <w:szCs w:val="20"/>
              </w:rPr>
            </w:pPr>
            <w:r w:rsidRPr="00C2053E">
              <w:rPr>
                <w:sz w:val="20"/>
                <w:szCs w:val="20"/>
              </w:rPr>
              <w:t>A679132 PROGRAM PREKOGRANIČNE SURADNJE - IZ EVIDENCIJSKIH PRIHODA</w:t>
            </w:r>
          </w:p>
        </w:tc>
        <w:tc>
          <w:tcPr>
            <w:tcW w:w="1282" w:type="dxa"/>
            <w:shd w:val="clear" w:color="auto" w:fill="auto"/>
          </w:tcPr>
          <w:p w:rsidR="003B4E58" w:rsidRPr="00C2053E" w:rsidRDefault="003B4E58" w:rsidP="002525DA">
            <w:pPr>
              <w:jc w:val="both"/>
            </w:pPr>
            <w:r w:rsidRPr="00C2053E">
              <w:t xml:space="preserve">   -</w:t>
            </w:r>
          </w:p>
          <w:p w:rsidR="003B4E58" w:rsidRPr="00C2053E" w:rsidRDefault="003B4E58" w:rsidP="002525DA">
            <w:pPr>
              <w:jc w:val="both"/>
            </w:pPr>
            <w:r w:rsidRPr="00C2053E">
              <w:t xml:space="preserve">   EUR</w:t>
            </w:r>
          </w:p>
        </w:tc>
        <w:tc>
          <w:tcPr>
            <w:tcW w:w="1176" w:type="dxa"/>
          </w:tcPr>
          <w:p w:rsidR="003B4E58" w:rsidRPr="00C2053E" w:rsidRDefault="003B4E58" w:rsidP="002525DA">
            <w:pPr>
              <w:jc w:val="both"/>
              <w:rPr>
                <w:lang w:val="en-US"/>
              </w:rPr>
            </w:pPr>
            <w:r w:rsidRPr="00C2053E">
              <w:rPr>
                <w:lang w:val="en-US"/>
              </w:rPr>
              <w:t xml:space="preserve"> -</w:t>
            </w:r>
          </w:p>
          <w:p w:rsidR="003B4E58" w:rsidRPr="00C2053E" w:rsidRDefault="003B4E58" w:rsidP="002525DA">
            <w:pPr>
              <w:jc w:val="both"/>
              <w:rPr>
                <w:lang w:val="en-US"/>
              </w:rPr>
            </w:pPr>
            <w:r w:rsidRPr="00C2053E">
              <w:rPr>
                <w:lang w:val="en-US"/>
              </w:rPr>
              <w:t xml:space="preserve"> EUR</w:t>
            </w:r>
          </w:p>
        </w:tc>
        <w:tc>
          <w:tcPr>
            <w:tcW w:w="1257" w:type="dxa"/>
          </w:tcPr>
          <w:p w:rsidR="003B4E58" w:rsidRPr="00C2053E" w:rsidRDefault="00B86BE5" w:rsidP="002525DA">
            <w:pPr>
              <w:jc w:val="both"/>
              <w:rPr>
                <w:lang w:val="en-US"/>
              </w:rPr>
            </w:pPr>
            <w:r w:rsidRPr="00C2053E">
              <w:rPr>
                <w:lang w:val="en-US"/>
              </w:rPr>
              <w:t>361.118</w:t>
            </w:r>
            <w:r w:rsidR="003B4E58" w:rsidRPr="00C2053E">
              <w:rPr>
                <w:lang w:val="en-US"/>
              </w:rPr>
              <w:t xml:space="preserve"> EUR</w:t>
            </w:r>
          </w:p>
        </w:tc>
        <w:tc>
          <w:tcPr>
            <w:tcW w:w="1226" w:type="dxa"/>
          </w:tcPr>
          <w:p w:rsidR="003B4E58" w:rsidRPr="00C2053E" w:rsidRDefault="003B4E58" w:rsidP="002525DA">
            <w:pPr>
              <w:jc w:val="both"/>
            </w:pPr>
            <w:r w:rsidRPr="00C2053E">
              <w:rPr>
                <w:lang w:val="en-US"/>
              </w:rPr>
              <w:t>291.235 EUR</w:t>
            </w:r>
          </w:p>
        </w:tc>
        <w:tc>
          <w:tcPr>
            <w:tcW w:w="1176" w:type="dxa"/>
          </w:tcPr>
          <w:p w:rsidR="003B4E58" w:rsidRPr="00C2053E" w:rsidRDefault="003B4E58" w:rsidP="002525DA">
            <w:pPr>
              <w:jc w:val="both"/>
            </w:pPr>
            <w:r w:rsidRPr="00C2053E">
              <w:rPr>
                <w:lang w:val="en-US"/>
              </w:rPr>
              <w:t>132.056 EUR</w:t>
            </w:r>
          </w:p>
        </w:tc>
        <w:tc>
          <w:tcPr>
            <w:tcW w:w="965" w:type="dxa"/>
          </w:tcPr>
          <w:p w:rsidR="003B4E58" w:rsidRPr="00C2053E" w:rsidRDefault="003B4E58" w:rsidP="002525DA">
            <w:pPr>
              <w:jc w:val="both"/>
              <w:rPr>
                <w:lang w:val="en-US"/>
              </w:rPr>
            </w:pPr>
            <w:r w:rsidRPr="00C2053E">
              <w:rPr>
                <w:lang w:val="en-US"/>
              </w:rPr>
              <w:t>-</w:t>
            </w:r>
          </w:p>
        </w:tc>
      </w:tr>
    </w:tbl>
    <w:p w:rsidR="003B4E58" w:rsidRPr="00C2053E" w:rsidRDefault="003B4E58" w:rsidP="003B4E58">
      <w:pPr>
        <w:jc w:val="both"/>
        <w:rPr>
          <w:i/>
        </w:rPr>
      </w:pPr>
    </w:p>
    <w:p w:rsidR="003B4E58" w:rsidRPr="00C2053E" w:rsidRDefault="003B4E58" w:rsidP="003B4E58">
      <w:pPr>
        <w:spacing w:before="240"/>
        <w:jc w:val="both"/>
        <w:rPr>
          <w:i/>
        </w:rPr>
      </w:pPr>
      <w:r w:rsidRPr="00C2053E">
        <w:rPr>
          <w:i/>
        </w:rPr>
        <w:t xml:space="preserve">Ova aktivnost/ projekt sastoji se od sljedećih </w:t>
      </w:r>
      <w:proofErr w:type="spellStart"/>
      <w:r w:rsidRPr="00C2053E">
        <w:rPr>
          <w:i/>
        </w:rPr>
        <w:t>podprojekata</w:t>
      </w:r>
      <w:proofErr w:type="spellEnd"/>
      <w:r w:rsidRPr="00C2053E">
        <w:rPr>
          <w:i/>
        </w:rPr>
        <w:t>:</w:t>
      </w:r>
    </w:p>
    <w:p w:rsidR="00145BE5" w:rsidRPr="00C2053E" w:rsidRDefault="00145BE5" w:rsidP="00145BE5">
      <w:pPr>
        <w:jc w:val="both"/>
        <w:rPr>
          <w:i/>
        </w:rPr>
      </w:pPr>
    </w:p>
    <w:p w:rsidR="003B4E58" w:rsidRPr="00C2053E" w:rsidRDefault="003B4E58" w:rsidP="00145BE5">
      <w:pPr>
        <w:pStyle w:val="ListParagraph"/>
        <w:numPr>
          <w:ilvl w:val="0"/>
          <w:numId w:val="42"/>
        </w:numPr>
        <w:jc w:val="both"/>
        <w:rPr>
          <w:i/>
        </w:rPr>
      </w:pPr>
      <w:r w:rsidRPr="00C2053E">
        <w:rPr>
          <w:i/>
        </w:rPr>
        <w:t xml:space="preserve">Projekt </w:t>
      </w:r>
      <w:r w:rsidR="006223AC" w:rsidRPr="00C2053E">
        <w:rPr>
          <w:i/>
        </w:rPr>
        <w:t>INFOBIP KONVERZACIJSKI ORDER MANAGEMENT</w:t>
      </w:r>
      <w:r w:rsidRPr="00C2053E">
        <w:rPr>
          <w:i/>
        </w:rPr>
        <w:t xml:space="preserve"> </w:t>
      </w:r>
    </w:p>
    <w:p w:rsidR="003B4E58" w:rsidRPr="00C2053E" w:rsidRDefault="003B4E58" w:rsidP="00145BE5">
      <w:pPr>
        <w:pStyle w:val="ListParagraph"/>
        <w:ind w:left="1068"/>
        <w:jc w:val="both"/>
        <w:rPr>
          <w:rFonts w:ascii="Times New Roman" w:hAnsi="Times New Roman" w:cs="Times New Roman"/>
          <w:i/>
        </w:rPr>
      </w:pPr>
      <w:r w:rsidRPr="00C2053E">
        <w:rPr>
          <w:rFonts w:ascii="Times New Roman" w:hAnsi="Times New Roman" w:cs="Times New Roman"/>
          <w:i/>
        </w:rPr>
        <w:t xml:space="preserve">Sredstva u visini od </w:t>
      </w:r>
      <w:r w:rsidR="00B86BE5" w:rsidRPr="00C2053E">
        <w:rPr>
          <w:rFonts w:ascii="Times New Roman" w:hAnsi="Times New Roman" w:cs="Times New Roman"/>
          <w:i/>
        </w:rPr>
        <w:t>63.196</w:t>
      </w:r>
      <w:r w:rsidRPr="00C2053E">
        <w:rPr>
          <w:rFonts w:ascii="Times New Roman" w:hAnsi="Times New Roman" w:cs="Times New Roman"/>
          <w:i/>
        </w:rPr>
        <w:t xml:space="preserve">  EUR planirana su u 2026 godini</w:t>
      </w:r>
    </w:p>
    <w:p w:rsidR="003B4E58" w:rsidRPr="00C2053E" w:rsidRDefault="003B4E58" w:rsidP="003B4E58">
      <w:pPr>
        <w:pStyle w:val="ListParagraph"/>
        <w:ind w:left="1068"/>
        <w:jc w:val="both"/>
        <w:rPr>
          <w:rFonts w:ascii="Times New Roman" w:hAnsi="Times New Roman" w:cs="Times New Roman"/>
          <w:i/>
        </w:rPr>
      </w:pPr>
    </w:p>
    <w:p w:rsidR="000F707A" w:rsidRPr="00C2053E" w:rsidRDefault="003B4E58" w:rsidP="00145BE5">
      <w:pPr>
        <w:pStyle w:val="ListParagraph"/>
        <w:numPr>
          <w:ilvl w:val="0"/>
          <w:numId w:val="42"/>
        </w:numPr>
        <w:jc w:val="both"/>
        <w:rPr>
          <w:rFonts w:ascii="Times New Roman" w:hAnsi="Times New Roman" w:cs="Times New Roman"/>
          <w:i/>
        </w:rPr>
      </w:pPr>
      <w:r w:rsidRPr="00C2053E">
        <w:rPr>
          <w:i/>
        </w:rPr>
        <w:t xml:space="preserve">Projekt </w:t>
      </w:r>
      <w:proofErr w:type="spellStart"/>
      <w:r w:rsidR="006223AC" w:rsidRPr="00C2053E">
        <w:rPr>
          <w:i/>
        </w:rPr>
        <w:t>iLIS</w:t>
      </w:r>
      <w:proofErr w:type="spellEnd"/>
      <w:r w:rsidR="006223AC" w:rsidRPr="00C2053E">
        <w:rPr>
          <w:i/>
        </w:rPr>
        <w:t xml:space="preserve"> - PROJEKTIRANJE I RAZVOJ NOVE GENERACIJE LABORATORIJSKOG INFORMACIJSKOG SUSTAVA </w:t>
      </w:r>
    </w:p>
    <w:p w:rsidR="008572C1" w:rsidRPr="00C2053E" w:rsidRDefault="003B4E58" w:rsidP="000F707A">
      <w:pPr>
        <w:pStyle w:val="ListParagraph"/>
        <w:ind w:left="1068"/>
        <w:jc w:val="both"/>
        <w:rPr>
          <w:rFonts w:ascii="Times New Roman" w:hAnsi="Times New Roman" w:cs="Times New Roman"/>
          <w:i/>
        </w:rPr>
      </w:pPr>
      <w:r w:rsidRPr="00C2053E">
        <w:rPr>
          <w:rFonts w:ascii="Times New Roman" w:hAnsi="Times New Roman" w:cs="Times New Roman"/>
          <w:i/>
        </w:rPr>
        <w:t xml:space="preserve">Sredstva u visini od </w:t>
      </w:r>
      <w:r w:rsidR="008572C1" w:rsidRPr="00C2053E">
        <w:rPr>
          <w:rFonts w:ascii="Times New Roman" w:hAnsi="Times New Roman" w:cs="Times New Roman"/>
          <w:i/>
        </w:rPr>
        <w:t xml:space="preserve">po </w:t>
      </w:r>
      <w:r w:rsidRPr="00C2053E">
        <w:rPr>
          <w:rFonts w:ascii="Times New Roman" w:hAnsi="Times New Roman" w:cs="Times New Roman"/>
          <w:i/>
        </w:rPr>
        <w:t>3</w:t>
      </w:r>
      <w:r w:rsidR="000F707A" w:rsidRPr="00C2053E">
        <w:rPr>
          <w:rFonts w:ascii="Times New Roman" w:hAnsi="Times New Roman" w:cs="Times New Roman"/>
          <w:i/>
        </w:rPr>
        <w:t>4</w:t>
      </w:r>
      <w:r w:rsidRPr="00C2053E">
        <w:rPr>
          <w:rFonts w:ascii="Times New Roman" w:hAnsi="Times New Roman" w:cs="Times New Roman"/>
          <w:i/>
        </w:rPr>
        <w:t>.</w:t>
      </w:r>
      <w:r w:rsidR="000F707A" w:rsidRPr="00C2053E">
        <w:rPr>
          <w:rFonts w:ascii="Times New Roman" w:hAnsi="Times New Roman" w:cs="Times New Roman"/>
          <w:i/>
        </w:rPr>
        <w:t>305</w:t>
      </w:r>
      <w:r w:rsidRPr="00C2053E">
        <w:rPr>
          <w:rFonts w:ascii="Times New Roman" w:hAnsi="Times New Roman" w:cs="Times New Roman"/>
          <w:i/>
        </w:rPr>
        <w:t xml:space="preserve">  EUR planirana su </w:t>
      </w:r>
      <w:r w:rsidR="008572C1" w:rsidRPr="00C2053E">
        <w:rPr>
          <w:rFonts w:ascii="Times New Roman" w:hAnsi="Times New Roman" w:cs="Times New Roman"/>
          <w:i/>
        </w:rPr>
        <w:t>u sve tri godine (2026, 2027. i 2028).</w:t>
      </w:r>
    </w:p>
    <w:p w:rsidR="00145BE5" w:rsidRPr="00C2053E" w:rsidRDefault="00145BE5" w:rsidP="00145BE5">
      <w:pPr>
        <w:pStyle w:val="ListParagraph"/>
        <w:ind w:left="1068"/>
        <w:jc w:val="both"/>
        <w:rPr>
          <w:rFonts w:ascii="Times New Roman" w:hAnsi="Times New Roman" w:cs="Times New Roman"/>
          <w:i/>
        </w:rPr>
      </w:pPr>
    </w:p>
    <w:p w:rsidR="003B4E58" w:rsidRPr="00C2053E" w:rsidRDefault="003B4E58" w:rsidP="00145BE5">
      <w:pPr>
        <w:pStyle w:val="ListParagraph"/>
        <w:numPr>
          <w:ilvl w:val="0"/>
          <w:numId w:val="42"/>
        </w:numPr>
        <w:jc w:val="both"/>
        <w:rPr>
          <w:rFonts w:ascii="Times New Roman" w:hAnsi="Times New Roman" w:cs="Times New Roman"/>
          <w:i/>
        </w:rPr>
      </w:pPr>
      <w:r w:rsidRPr="00C2053E">
        <w:rPr>
          <w:i/>
        </w:rPr>
        <w:t xml:space="preserve">Projekt </w:t>
      </w:r>
      <w:r w:rsidR="006223AC" w:rsidRPr="00C2053E">
        <w:rPr>
          <w:i/>
        </w:rPr>
        <w:t>INNOVATE STAY</w:t>
      </w:r>
    </w:p>
    <w:p w:rsidR="008E74E3" w:rsidRPr="00C2053E" w:rsidRDefault="003B4E58" w:rsidP="008E74E3">
      <w:pPr>
        <w:pStyle w:val="ListParagraph"/>
        <w:ind w:left="1068"/>
        <w:jc w:val="both"/>
        <w:rPr>
          <w:rFonts w:ascii="Times New Roman" w:hAnsi="Times New Roman" w:cs="Times New Roman"/>
          <w:i/>
        </w:rPr>
      </w:pPr>
      <w:r w:rsidRPr="00C2053E">
        <w:rPr>
          <w:rFonts w:ascii="Times New Roman" w:hAnsi="Times New Roman" w:cs="Times New Roman"/>
          <w:i/>
        </w:rPr>
        <w:t xml:space="preserve">Sredstva u visini od </w:t>
      </w:r>
      <w:r w:rsidR="000F707A" w:rsidRPr="00C2053E">
        <w:rPr>
          <w:rFonts w:ascii="Times New Roman" w:hAnsi="Times New Roman" w:cs="Times New Roman"/>
          <w:i/>
        </w:rPr>
        <w:t>68.115</w:t>
      </w:r>
      <w:r w:rsidRPr="00C2053E">
        <w:rPr>
          <w:rFonts w:ascii="Times New Roman" w:hAnsi="Times New Roman" w:cs="Times New Roman"/>
          <w:i/>
        </w:rPr>
        <w:t xml:space="preserve">  EUR planirana su u 2026 godini</w:t>
      </w:r>
      <w:r w:rsidR="008572C1" w:rsidRPr="00C2053E">
        <w:rPr>
          <w:rFonts w:ascii="Times New Roman" w:hAnsi="Times New Roman" w:cs="Times New Roman"/>
          <w:i/>
        </w:rPr>
        <w:t xml:space="preserve"> i 61.428 EUR u 2027.</w:t>
      </w:r>
    </w:p>
    <w:p w:rsidR="008E74E3" w:rsidRPr="00C2053E" w:rsidRDefault="008E74E3" w:rsidP="008E74E3">
      <w:pPr>
        <w:pStyle w:val="ListParagraph"/>
        <w:ind w:left="1068"/>
        <w:jc w:val="both"/>
        <w:rPr>
          <w:rFonts w:ascii="Times New Roman" w:hAnsi="Times New Roman" w:cs="Times New Roman"/>
          <w:i/>
        </w:rPr>
      </w:pPr>
    </w:p>
    <w:p w:rsidR="008E74E3" w:rsidRPr="00C2053E" w:rsidRDefault="008E74E3" w:rsidP="008E74E3">
      <w:pPr>
        <w:pStyle w:val="ListParagraph"/>
        <w:numPr>
          <w:ilvl w:val="0"/>
          <w:numId w:val="42"/>
        </w:numPr>
        <w:jc w:val="both"/>
        <w:rPr>
          <w:i/>
        </w:rPr>
      </w:pPr>
      <w:r w:rsidRPr="00C2053E">
        <w:rPr>
          <w:i/>
        </w:rPr>
        <w:t>Projekt EDIH ADRIA - DIGITAL 2025 - EDIH-EU-EEA-08</w:t>
      </w:r>
    </w:p>
    <w:p w:rsidR="008E74E3" w:rsidRPr="00C2053E" w:rsidRDefault="008E74E3" w:rsidP="008E74E3">
      <w:pPr>
        <w:pStyle w:val="ListParagraph"/>
        <w:ind w:left="1068"/>
        <w:jc w:val="both"/>
        <w:rPr>
          <w:rFonts w:ascii="Times New Roman" w:hAnsi="Times New Roman" w:cs="Times New Roman"/>
          <w:i/>
        </w:rPr>
      </w:pPr>
      <w:r w:rsidRPr="00C2053E">
        <w:rPr>
          <w:rFonts w:ascii="Times New Roman" w:hAnsi="Times New Roman" w:cs="Times New Roman"/>
          <w:i/>
        </w:rPr>
        <w:t xml:space="preserve">Sredstva u visini od </w:t>
      </w:r>
      <w:r w:rsidR="000F707A" w:rsidRPr="00C2053E">
        <w:rPr>
          <w:rFonts w:ascii="Times New Roman" w:hAnsi="Times New Roman" w:cs="Times New Roman"/>
          <w:i/>
        </w:rPr>
        <w:t>195.502</w:t>
      </w:r>
      <w:r w:rsidRPr="00C2053E">
        <w:rPr>
          <w:rFonts w:ascii="Times New Roman" w:hAnsi="Times New Roman" w:cs="Times New Roman"/>
          <w:i/>
        </w:rPr>
        <w:t xml:space="preserve">  EUR planirana su u 2026 godini</w:t>
      </w:r>
      <w:r w:rsidR="008572C1" w:rsidRPr="00C2053E">
        <w:rPr>
          <w:rFonts w:ascii="Times New Roman" w:hAnsi="Times New Roman" w:cs="Times New Roman"/>
          <w:i/>
        </w:rPr>
        <w:t xml:space="preserve"> i 2027. godini, te  97.751 EUR u 2028.</w:t>
      </w:r>
    </w:p>
    <w:p w:rsidR="003B4E58" w:rsidRPr="00C2053E" w:rsidRDefault="003B4E58" w:rsidP="003B4E58">
      <w:pPr>
        <w:pStyle w:val="ListParagraph"/>
        <w:ind w:left="1068"/>
        <w:jc w:val="both"/>
        <w:rPr>
          <w:rFonts w:ascii="Times New Roman" w:hAnsi="Times New Roman" w:cs="Times New Roman"/>
          <w:i/>
        </w:rPr>
      </w:pPr>
    </w:p>
    <w:p w:rsidR="003B4E58" w:rsidRPr="00C2053E" w:rsidRDefault="003B4E58" w:rsidP="003B4E58">
      <w:pPr>
        <w:pStyle w:val="ListParagraph"/>
        <w:ind w:left="1068"/>
        <w:jc w:val="both"/>
        <w:rPr>
          <w:rFonts w:ascii="Times New Roman" w:hAnsi="Times New Roman" w:cs="Times New Roman"/>
          <w:i/>
        </w:rPr>
      </w:pPr>
    </w:p>
    <w:p w:rsidR="003B4E58" w:rsidRPr="00C2053E" w:rsidRDefault="003B4E58" w:rsidP="003B4E58">
      <w:pPr>
        <w:spacing w:after="200"/>
        <w:jc w:val="both"/>
        <w:rPr>
          <w:bCs/>
          <w:i/>
          <w:iCs/>
        </w:rPr>
      </w:pPr>
      <w:r w:rsidRPr="00C2053E">
        <w:rPr>
          <w:bCs/>
          <w:i/>
          <w:iCs/>
        </w:rPr>
        <w:t>Zbog promjene metodologije 2024. i 2025 godina nisu popunjene.</w:t>
      </w:r>
      <w:r w:rsidRPr="00C2053E">
        <w:rPr>
          <w:bCs/>
          <w:i/>
          <w:iCs/>
        </w:rPr>
        <w:tab/>
      </w:r>
    </w:p>
    <w:p w:rsidR="00866394" w:rsidRPr="00C2053E" w:rsidRDefault="00866394" w:rsidP="003B4E58">
      <w:pPr>
        <w:spacing w:after="200"/>
        <w:jc w:val="both"/>
        <w:rPr>
          <w:bCs/>
          <w:i/>
          <w:iCs/>
        </w:rPr>
      </w:pPr>
    </w:p>
    <w:p w:rsidR="002525DA" w:rsidRPr="00C2053E" w:rsidRDefault="002525DA" w:rsidP="002525DA">
      <w:pPr>
        <w:spacing w:after="200"/>
        <w:jc w:val="both"/>
        <w:rPr>
          <w:bCs/>
          <w:i/>
          <w:iCs/>
        </w:rPr>
      </w:pPr>
    </w:p>
    <w:p w:rsidR="002525DA" w:rsidRPr="00C2053E" w:rsidRDefault="002525DA" w:rsidP="002525DA">
      <w:pPr>
        <w:pStyle w:val="ListParagraph"/>
        <w:jc w:val="both"/>
        <w:rPr>
          <w:rFonts w:ascii="Times New Roman" w:hAnsi="Times New Roman" w:cs="Times New Roman"/>
          <w:i/>
        </w:rPr>
      </w:pPr>
      <w:r w:rsidRPr="00C2053E">
        <w:rPr>
          <w:rFonts w:ascii="Times New Roman" w:hAnsi="Times New Roman" w:cs="Times New Roman"/>
          <w:i/>
        </w:rPr>
        <w:t>Nastavno su prikazani ciljevi  i očekivani rezultati u predstojećem planskom razdoblju:</w:t>
      </w:r>
    </w:p>
    <w:tbl>
      <w:tblPr>
        <w:tblStyle w:val="TableGrid"/>
        <w:tblW w:w="9780" w:type="dxa"/>
        <w:jc w:val="center"/>
        <w:tblLayout w:type="fixed"/>
        <w:tblCellMar>
          <w:left w:w="0" w:type="dxa"/>
          <w:right w:w="0" w:type="dxa"/>
        </w:tblCellMar>
        <w:tblLook w:val="04A0" w:firstRow="1" w:lastRow="0" w:firstColumn="1" w:lastColumn="0" w:noHBand="0" w:noVBand="1"/>
      </w:tblPr>
      <w:tblGrid>
        <w:gridCol w:w="1837"/>
        <w:gridCol w:w="1984"/>
        <w:gridCol w:w="1275"/>
        <w:gridCol w:w="998"/>
        <w:gridCol w:w="1134"/>
        <w:gridCol w:w="851"/>
        <w:gridCol w:w="850"/>
        <w:gridCol w:w="851"/>
      </w:tblGrid>
      <w:tr w:rsidR="002525DA"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525DA" w:rsidRPr="00C2053E" w:rsidRDefault="002525DA">
            <w:pPr>
              <w:jc w:val="center"/>
              <w:rPr>
                <w:sz w:val="20"/>
              </w:rPr>
            </w:pPr>
            <w:r w:rsidRPr="00C2053E">
              <w:rPr>
                <w:sz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525DA" w:rsidRPr="00C2053E" w:rsidRDefault="002525DA">
            <w:pPr>
              <w:jc w:val="center"/>
              <w:rPr>
                <w:sz w:val="20"/>
              </w:rPr>
            </w:pPr>
            <w:r w:rsidRPr="00C2053E">
              <w:rPr>
                <w:sz w:val="20"/>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525DA" w:rsidRPr="00C2053E" w:rsidRDefault="002525DA">
            <w:pPr>
              <w:jc w:val="center"/>
              <w:rPr>
                <w:sz w:val="20"/>
              </w:rPr>
            </w:pPr>
            <w:r w:rsidRPr="00C2053E">
              <w:rPr>
                <w:sz w:val="20"/>
              </w:rPr>
              <w:t>Jedinica</w:t>
            </w:r>
          </w:p>
        </w:tc>
        <w:tc>
          <w:tcPr>
            <w:tcW w:w="9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525DA" w:rsidRPr="00C2053E" w:rsidRDefault="002525DA">
            <w:pPr>
              <w:jc w:val="center"/>
              <w:rPr>
                <w:sz w:val="20"/>
              </w:rPr>
            </w:pPr>
            <w:r w:rsidRPr="00C2053E">
              <w:rPr>
                <w:sz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525DA" w:rsidRPr="00C2053E" w:rsidRDefault="002525DA">
            <w:pPr>
              <w:jc w:val="center"/>
              <w:rPr>
                <w:sz w:val="20"/>
              </w:rPr>
            </w:pPr>
            <w:r w:rsidRPr="00C2053E">
              <w:rPr>
                <w:sz w:val="20"/>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525DA" w:rsidRPr="00C2053E" w:rsidRDefault="002525DA">
            <w:pPr>
              <w:jc w:val="center"/>
              <w:rPr>
                <w:sz w:val="20"/>
              </w:rPr>
            </w:pPr>
            <w:r w:rsidRPr="00C2053E">
              <w:rPr>
                <w:sz w:val="20"/>
              </w:rPr>
              <w:t>Ciljana vrijednost za 2026.</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2525DA" w:rsidRPr="00C2053E" w:rsidRDefault="002525DA">
            <w:pPr>
              <w:jc w:val="center"/>
              <w:rPr>
                <w:sz w:val="20"/>
              </w:rPr>
            </w:pPr>
            <w:r w:rsidRPr="00C2053E">
              <w:rPr>
                <w:sz w:val="20"/>
              </w:rPr>
              <w:t>Ciljana vrijednost za 2027.</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2525DA" w:rsidRPr="00C2053E" w:rsidRDefault="002525DA">
            <w:pPr>
              <w:jc w:val="center"/>
              <w:rPr>
                <w:sz w:val="20"/>
              </w:rPr>
            </w:pPr>
            <w:r w:rsidRPr="00C2053E">
              <w:rPr>
                <w:sz w:val="20"/>
              </w:rPr>
              <w:t>Ciljana vrijednost za 2028.</w:t>
            </w:r>
          </w:p>
        </w:tc>
      </w:tr>
      <w:tr w:rsidR="002525DA"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525DA" w:rsidRPr="00C2053E" w:rsidRDefault="002525DA">
            <w:pPr>
              <w:rPr>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525DA" w:rsidRPr="00C2053E" w:rsidRDefault="002525DA">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525DA" w:rsidRPr="00C2053E" w:rsidRDefault="002525DA">
            <w:pPr>
              <w:jc w:val="center"/>
              <w:rPr>
                <w:sz w:val="20"/>
              </w:rPr>
            </w:pPr>
          </w:p>
        </w:tc>
        <w:tc>
          <w:tcPr>
            <w:tcW w:w="9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525DA" w:rsidRPr="00C2053E" w:rsidRDefault="002525DA">
            <w:pPr>
              <w:jc w:val="cente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525DA" w:rsidRPr="00C2053E" w:rsidRDefault="002525DA">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525DA" w:rsidRPr="00C2053E" w:rsidRDefault="002525DA">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525DA" w:rsidRPr="00C2053E" w:rsidRDefault="002525DA">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525DA" w:rsidRPr="00C2053E" w:rsidRDefault="002525DA">
            <w:pPr>
              <w:jc w:val="center"/>
              <w:rPr>
                <w:sz w:val="20"/>
              </w:rPr>
            </w:pPr>
          </w:p>
        </w:tc>
      </w:tr>
      <w:tr w:rsidR="002525DA"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vAlign w:val="center"/>
          </w:tcPr>
          <w:p w:rsidR="002525DA" w:rsidRPr="00C2053E" w:rsidRDefault="002525DA">
            <w:pPr>
              <w:jc w:val="center"/>
              <w:rPr>
                <w:sz w:val="20"/>
              </w:rPr>
            </w:pPr>
          </w:p>
          <w:p w:rsidR="002525DA" w:rsidRPr="00C2053E" w:rsidRDefault="002525DA">
            <w:pPr>
              <w:jc w:val="center"/>
              <w:rPr>
                <w:sz w:val="20"/>
              </w:rPr>
            </w:pPr>
          </w:p>
          <w:p w:rsidR="002525DA" w:rsidRPr="00C2053E" w:rsidRDefault="002525DA">
            <w:pPr>
              <w:jc w:val="center"/>
              <w:rPr>
                <w:sz w:val="20"/>
              </w:rPr>
            </w:pPr>
            <w:r w:rsidRPr="00C2053E">
              <w:rPr>
                <w:sz w:val="20"/>
              </w:rPr>
              <w:t>Broj razvijenih modula LIS sustava</w:t>
            </w:r>
            <w:r w:rsidRPr="00C2053E">
              <w:rPr>
                <w:sz w:val="20"/>
              </w:rPr>
              <w:br/>
              <w:t>Broj uključenih nastavnika i istraživača</w:t>
            </w:r>
          </w:p>
          <w:p w:rsidR="002525DA" w:rsidRPr="00C2053E" w:rsidRDefault="002525DA">
            <w:pPr>
              <w:jc w:val="center"/>
              <w:rPr>
                <w:sz w:val="20"/>
              </w:rPr>
            </w:pPr>
            <w:r w:rsidRPr="00C2053E">
              <w:rPr>
                <w:sz w:val="20"/>
              </w:rPr>
              <w:t xml:space="preserve">Broj </w:t>
            </w:r>
            <w:proofErr w:type="spellStart"/>
            <w:r w:rsidRPr="00C2053E">
              <w:rPr>
                <w:sz w:val="20"/>
              </w:rPr>
              <w:t>diseminacijskih</w:t>
            </w:r>
            <w:proofErr w:type="spellEnd"/>
            <w:r w:rsidRPr="00C2053E">
              <w:rPr>
                <w:sz w:val="20"/>
              </w:rPr>
              <w:t xml:space="preserve"> aktivnosti</w:t>
            </w:r>
          </w:p>
        </w:tc>
        <w:tc>
          <w:tcPr>
            <w:tcW w:w="198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Razvoj i nadogradnja funkcionalnih modula laboratorijskog informacijskog sustava</w:t>
            </w:r>
            <w:r w:rsidRPr="00C2053E">
              <w:rPr>
                <w:sz w:val="20"/>
              </w:rPr>
              <w:br/>
              <w:t>Sudjelovanje nastavnika i istraživača u razvoju i validaciji sustava</w:t>
            </w:r>
          </w:p>
        </w:tc>
        <w:tc>
          <w:tcPr>
            <w:tcW w:w="1275"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1 novozaposleni</w:t>
            </w:r>
          </w:p>
        </w:tc>
        <w:tc>
          <w:tcPr>
            <w:tcW w:w="998"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Projektna dokumentacija</w:t>
            </w:r>
          </w:p>
        </w:tc>
        <w:tc>
          <w:tcPr>
            <w:tcW w:w="851"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34.305  </w:t>
            </w:r>
          </w:p>
        </w:tc>
        <w:tc>
          <w:tcPr>
            <w:tcW w:w="850"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34.305  </w:t>
            </w:r>
          </w:p>
        </w:tc>
        <w:tc>
          <w:tcPr>
            <w:tcW w:w="851"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34.305  </w:t>
            </w:r>
          </w:p>
        </w:tc>
      </w:tr>
      <w:tr w:rsidR="002525DA" w:rsidRPr="00C2053E" w:rsidTr="002525DA">
        <w:trPr>
          <w:trHeight w:val="2611"/>
          <w:jc w:val="center"/>
        </w:trPr>
        <w:tc>
          <w:tcPr>
            <w:tcW w:w="1837" w:type="dxa"/>
            <w:tcBorders>
              <w:top w:val="single" w:sz="4" w:space="0" w:color="auto"/>
              <w:left w:val="single" w:sz="4" w:space="0" w:color="auto"/>
              <w:bottom w:val="single" w:sz="4" w:space="0" w:color="auto"/>
              <w:right w:val="single" w:sz="4" w:space="0" w:color="auto"/>
            </w:tcBorders>
            <w:vAlign w:val="center"/>
          </w:tcPr>
          <w:p w:rsidR="002525DA" w:rsidRPr="00C2053E" w:rsidRDefault="002525DA">
            <w:pPr>
              <w:jc w:val="center"/>
              <w:rPr>
                <w:sz w:val="20"/>
              </w:rPr>
            </w:pPr>
          </w:p>
          <w:p w:rsidR="002525DA" w:rsidRPr="00C2053E" w:rsidRDefault="002525DA">
            <w:pPr>
              <w:jc w:val="center"/>
              <w:rPr>
                <w:sz w:val="20"/>
              </w:rPr>
            </w:pPr>
            <w:r w:rsidRPr="00C2053E">
              <w:rPr>
                <w:sz w:val="20"/>
              </w:rPr>
              <w:t>Broj razvijenih konverzacijskih AI rješenja</w:t>
            </w:r>
          </w:p>
          <w:p w:rsidR="002525DA" w:rsidRPr="00C2053E" w:rsidRDefault="002525DA">
            <w:pPr>
              <w:jc w:val="center"/>
              <w:rPr>
                <w:sz w:val="20"/>
              </w:rPr>
            </w:pPr>
            <w:r w:rsidRPr="00C2053E">
              <w:rPr>
                <w:sz w:val="20"/>
              </w:rPr>
              <w:t>Broj uključenih nastavnika i istraživača</w:t>
            </w:r>
          </w:p>
          <w:p w:rsidR="002525DA" w:rsidRPr="00C2053E" w:rsidRDefault="002525DA">
            <w:pPr>
              <w:jc w:val="center"/>
              <w:rPr>
                <w:sz w:val="20"/>
              </w:rPr>
            </w:pPr>
            <w:r w:rsidRPr="00C2053E">
              <w:rPr>
                <w:sz w:val="20"/>
              </w:rPr>
              <w:t xml:space="preserve">Broj </w:t>
            </w:r>
            <w:proofErr w:type="spellStart"/>
            <w:r w:rsidRPr="00C2053E">
              <w:rPr>
                <w:sz w:val="20"/>
              </w:rPr>
              <w:t>diseminacijskih</w:t>
            </w:r>
            <w:proofErr w:type="spellEnd"/>
            <w:r w:rsidRPr="00C2053E">
              <w:rPr>
                <w:sz w:val="20"/>
              </w:rPr>
              <w:t xml:space="preserve"> aktivnosti</w:t>
            </w:r>
          </w:p>
          <w:p w:rsidR="002525DA" w:rsidRPr="00C2053E" w:rsidRDefault="002525DA">
            <w:pPr>
              <w:jc w:val="center"/>
              <w:rPr>
                <w:sz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Razvoj i pilot-implementacija konverzacijskog sustava za upravljanje narudžbama u suradnji s industrijskim partnerom</w:t>
            </w:r>
          </w:p>
          <w:p w:rsidR="002525DA" w:rsidRPr="00C2053E" w:rsidRDefault="002525DA">
            <w:pPr>
              <w:jc w:val="center"/>
              <w:rPr>
                <w:sz w:val="20"/>
              </w:rPr>
            </w:pPr>
            <w:r w:rsidRPr="00C2053E">
              <w:rPr>
                <w:sz w:val="20"/>
              </w:rPr>
              <w:t>Sudjelovanje nastavnika i istraživača u razvoju i testiranju sustava</w:t>
            </w:r>
          </w:p>
        </w:tc>
        <w:tc>
          <w:tcPr>
            <w:tcW w:w="1275"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2 novozaposlena</w:t>
            </w:r>
          </w:p>
        </w:tc>
        <w:tc>
          <w:tcPr>
            <w:tcW w:w="998"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Projektna dokumentacija</w:t>
            </w:r>
          </w:p>
        </w:tc>
        <w:tc>
          <w:tcPr>
            <w:tcW w:w="851"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63.196  </w:t>
            </w:r>
          </w:p>
        </w:tc>
        <w:tc>
          <w:tcPr>
            <w:tcW w:w="850" w:type="dxa"/>
            <w:tcBorders>
              <w:top w:val="single" w:sz="4" w:space="0" w:color="auto"/>
              <w:left w:val="single" w:sz="4" w:space="0" w:color="auto"/>
              <w:bottom w:val="single" w:sz="4" w:space="0" w:color="auto"/>
              <w:right w:val="single" w:sz="4" w:space="0" w:color="auto"/>
            </w:tcBorders>
            <w:vAlign w:val="center"/>
          </w:tcPr>
          <w:p w:rsidR="002525DA" w:rsidRPr="00C2053E" w:rsidRDefault="002525DA">
            <w:pPr>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525DA" w:rsidRPr="00C2053E" w:rsidRDefault="002525DA">
            <w:pPr>
              <w:jc w:val="center"/>
              <w:rPr>
                <w:sz w:val="20"/>
              </w:rPr>
            </w:pPr>
          </w:p>
        </w:tc>
      </w:tr>
      <w:tr w:rsidR="002525DA" w:rsidRPr="00C2053E" w:rsidTr="002525DA">
        <w:trPr>
          <w:trHeight w:val="1592"/>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Broj razvijenih inovativnih digitalnih rješenja</w:t>
            </w:r>
            <w:r w:rsidRPr="00C2053E">
              <w:rPr>
                <w:sz w:val="20"/>
              </w:rPr>
              <w:br/>
              <w:t>Broj uključenih nastavnika i istraživača</w:t>
            </w:r>
          </w:p>
          <w:p w:rsidR="002525DA" w:rsidRPr="00C2053E" w:rsidRDefault="002525DA">
            <w:pPr>
              <w:jc w:val="center"/>
              <w:rPr>
                <w:sz w:val="20"/>
              </w:rPr>
            </w:pPr>
            <w:r w:rsidRPr="00C2053E">
              <w:rPr>
                <w:sz w:val="20"/>
              </w:rPr>
              <w:t xml:space="preserve">Broj </w:t>
            </w:r>
            <w:proofErr w:type="spellStart"/>
            <w:r w:rsidRPr="00C2053E">
              <w:rPr>
                <w:sz w:val="20"/>
              </w:rPr>
              <w:t>diseminacijskih</w:t>
            </w:r>
            <w:proofErr w:type="spellEnd"/>
            <w:r w:rsidRPr="00C2053E">
              <w:rPr>
                <w:sz w:val="20"/>
              </w:rPr>
              <w:t xml:space="preserve"> aktivnosti</w:t>
            </w:r>
          </w:p>
        </w:tc>
        <w:tc>
          <w:tcPr>
            <w:tcW w:w="198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Razvoj digitalnih rješenja za unaprjeđenje turističkih i smještajnih usluga</w:t>
            </w:r>
            <w:r w:rsidRPr="00C2053E">
              <w:rPr>
                <w:sz w:val="20"/>
              </w:rPr>
              <w:br/>
              <w:t>Sudjelovanje nastavnika i istraživača u razvoju i testiranju sustava</w:t>
            </w:r>
          </w:p>
        </w:tc>
        <w:tc>
          <w:tcPr>
            <w:tcW w:w="1275"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2 novozaposlena</w:t>
            </w:r>
          </w:p>
        </w:tc>
        <w:tc>
          <w:tcPr>
            <w:tcW w:w="998"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Projektna dokumentacija</w:t>
            </w:r>
          </w:p>
        </w:tc>
        <w:tc>
          <w:tcPr>
            <w:tcW w:w="851"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68.115  </w:t>
            </w:r>
          </w:p>
        </w:tc>
        <w:tc>
          <w:tcPr>
            <w:tcW w:w="850"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61.428</w:t>
            </w:r>
          </w:p>
        </w:tc>
        <w:tc>
          <w:tcPr>
            <w:tcW w:w="851" w:type="dxa"/>
            <w:tcBorders>
              <w:top w:val="single" w:sz="4" w:space="0" w:color="auto"/>
              <w:left w:val="single" w:sz="4" w:space="0" w:color="auto"/>
              <w:bottom w:val="single" w:sz="4" w:space="0" w:color="auto"/>
              <w:right w:val="single" w:sz="4" w:space="0" w:color="auto"/>
            </w:tcBorders>
            <w:vAlign w:val="center"/>
          </w:tcPr>
          <w:p w:rsidR="002525DA" w:rsidRPr="00C2053E" w:rsidRDefault="002525DA">
            <w:pPr>
              <w:jc w:val="center"/>
              <w:rPr>
                <w:sz w:val="20"/>
              </w:rPr>
            </w:pPr>
          </w:p>
        </w:tc>
      </w:tr>
      <w:tr w:rsidR="002525DA" w:rsidRPr="00C2053E" w:rsidTr="002525DA">
        <w:trPr>
          <w:trHeight w:val="1592"/>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Broj SME-ova i POS tijela obuhvaćenih uslugama</w:t>
            </w:r>
            <w:r w:rsidRPr="00C2053E">
              <w:rPr>
                <w:sz w:val="20"/>
              </w:rPr>
              <w:br/>
              <w:t>Broj provedenih edukacija i radionica</w:t>
            </w:r>
          </w:p>
          <w:p w:rsidR="002525DA" w:rsidRPr="00C2053E" w:rsidRDefault="002525DA">
            <w:pPr>
              <w:jc w:val="center"/>
              <w:rPr>
                <w:sz w:val="20"/>
              </w:rPr>
            </w:pPr>
            <w:r w:rsidRPr="00C2053E">
              <w:rPr>
                <w:sz w:val="20"/>
              </w:rPr>
              <w:t>Broj uključenih nastavnika i stručnjaka</w:t>
            </w:r>
          </w:p>
          <w:p w:rsidR="002525DA" w:rsidRPr="00C2053E" w:rsidRDefault="002525DA">
            <w:pPr>
              <w:jc w:val="center"/>
              <w:rPr>
                <w:sz w:val="20"/>
              </w:rPr>
            </w:pPr>
            <w:r w:rsidRPr="00C2053E">
              <w:rPr>
                <w:sz w:val="20"/>
              </w:rPr>
              <w:t>Broj razvijenih ili testiranih digitalnih rješenja</w:t>
            </w:r>
          </w:p>
        </w:tc>
        <w:tc>
          <w:tcPr>
            <w:tcW w:w="198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Pružanje EDIH usluga (test </w:t>
            </w:r>
            <w:proofErr w:type="spellStart"/>
            <w:r w:rsidRPr="00C2053E">
              <w:rPr>
                <w:sz w:val="20"/>
              </w:rPr>
              <w:t>before</w:t>
            </w:r>
            <w:proofErr w:type="spellEnd"/>
            <w:r w:rsidRPr="00C2053E">
              <w:rPr>
                <w:sz w:val="20"/>
              </w:rPr>
              <w:t xml:space="preserve"> </w:t>
            </w:r>
            <w:proofErr w:type="spellStart"/>
            <w:r w:rsidRPr="00C2053E">
              <w:rPr>
                <w:sz w:val="20"/>
              </w:rPr>
              <w:t>invest</w:t>
            </w:r>
            <w:proofErr w:type="spellEnd"/>
            <w:r w:rsidRPr="00C2053E">
              <w:rPr>
                <w:sz w:val="20"/>
              </w:rPr>
              <w:t>, edukacije, savjetovanja)</w:t>
            </w:r>
            <w:r w:rsidRPr="00C2053E">
              <w:rPr>
                <w:sz w:val="20"/>
              </w:rPr>
              <w:br/>
              <w:t>Edukacije iz područja digitalne transformacije i AI</w:t>
            </w:r>
          </w:p>
          <w:p w:rsidR="002525DA" w:rsidRPr="00C2053E" w:rsidRDefault="002525DA">
            <w:pPr>
              <w:jc w:val="center"/>
              <w:rPr>
                <w:sz w:val="20"/>
              </w:rPr>
            </w:pPr>
            <w:r w:rsidRPr="00C2053E">
              <w:rPr>
                <w:sz w:val="20"/>
              </w:rPr>
              <w:t>Sudjelovanje nastavnika i stručnjaka u provedbi EDIH aktivnosti</w:t>
            </w:r>
          </w:p>
          <w:p w:rsidR="002525DA" w:rsidRPr="00C2053E" w:rsidRDefault="002525DA">
            <w:pPr>
              <w:jc w:val="center"/>
              <w:rPr>
                <w:sz w:val="20"/>
              </w:rPr>
            </w:pPr>
            <w:r w:rsidRPr="00C2053E">
              <w:rPr>
                <w:sz w:val="20"/>
              </w:rPr>
              <w:t>Testiranje i razvoj digitalnih rješenja za korisnike EDIH-a</w:t>
            </w:r>
          </w:p>
        </w:tc>
        <w:tc>
          <w:tcPr>
            <w:tcW w:w="1275"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6 </w:t>
            </w:r>
            <w:proofErr w:type="spellStart"/>
            <w:r w:rsidRPr="00C2053E">
              <w:rPr>
                <w:sz w:val="20"/>
              </w:rPr>
              <w:t>novozaposenih</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Projektna dokumentacija</w:t>
            </w:r>
          </w:p>
        </w:tc>
        <w:tc>
          <w:tcPr>
            <w:tcW w:w="851"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195.502  </w:t>
            </w:r>
          </w:p>
        </w:tc>
        <w:tc>
          <w:tcPr>
            <w:tcW w:w="850"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 xml:space="preserve">195.502  </w:t>
            </w:r>
          </w:p>
        </w:tc>
        <w:tc>
          <w:tcPr>
            <w:tcW w:w="851" w:type="dxa"/>
            <w:tcBorders>
              <w:top w:val="single" w:sz="4" w:space="0" w:color="auto"/>
              <w:left w:val="single" w:sz="4" w:space="0" w:color="auto"/>
              <w:bottom w:val="single" w:sz="4" w:space="0" w:color="auto"/>
              <w:right w:val="single" w:sz="4" w:space="0" w:color="auto"/>
            </w:tcBorders>
            <w:vAlign w:val="center"/>
            <w:hideMark/>
          </w:tcPr>
          <w:p w:rsidR="002525DA" w:rsidRPr="00C2053E" w:rsidRDefault="002525DA">
            <w:pPr>
              <w:jc w:val="center"/>
              <w:rPr>
                <w:sz w:val="20"/>
              </w:rPr>
            </w:pPr>
            <w:r w:rsidRPr="00C2053E">
              <w:rPr>
                <w:sz w:val="20"/>
              </w:rPr>
              <w:t>97.751</w:t>
            </w:r>
          </w:p>
        </w:tc>
      </w:tr>
    </w:tbl>
    <w:p w:rsidR="002525DA" w:rsidRPr="00C2053E" w:rsidRDefault="002525DA" w:rsidP="002525DA">
      <w:pPr>
        <w:spacing w:after="200"/>
        <w:jc w:val="both"/>
        <w:rPr>
          <w:bCs/>
          <w:i/>
          <w:iCs/>
        </w:rPr>
      </w:pPr>
    </w:p>
    <w:p w:rsidR="002C1C82" w:rsidRPr="00C2053E" w:rsidRDefault="002C1C82" w:rsidP="00C51C46">
      <w:pPr>
        <w:jc w:val="both"/>
        <w:rPr>
          <w:i/>
        </w:rPr>
      </w:pPr>
    </w:p>
    <w:p w:rsidR="002C1C82" w:rsidRPr="00C2053E" w:rsidRDefault="002C1C82" w:rsidP="00C51C46">
      <w:pPr>
        <w:jc w:val="both"/>
        <w:rPr>
          <w:i/>
        </w:rPr>
      </w:pPr>
    </w:p>
    <w:p w:rsidR="002C1C82" w:rsidRPr="00C2053E" w:rsidRDefault="002C1C82" w:rsidP="002C1C8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bCs/>
          <w:sz w:val="28"/>
        </w:rPr>
      </w:pPr>
      <w:r w:rsidRPr="00C2053E">
        <w:rPr>
          <w:b/>
          <w:bCs/>
          <w:sz w:val="28"/>
        </w:rPr>
        <w:t>K</w:t>
      </w:r>
      <w:r w:rsidR="003B7440" w:rsidRPr="00C2053E">
        <w:rPr>
          <w:b/>
          <w:bCs/>
          <w:sz w:val="28"/>
        </w:rPr>
        <w:t>679129 – STVARANJE OKVIRA ZA PRIVLAČENJE STUDENATA I ISTRAŽIVAČA NA STEM I ICT PODRUČJIMA – NPOO (C3.2.R2)</w:t>
      </w:r>
    </w:p>
    <w:p w:rsidR="002C1C82" w:rsidRPr="00C2053E" w:rsidRDefault="002C1C82" w:rsidP="002C1C82">
      <w:pPr>
        <w:jc w:val="both"/>
        <w:rPr>
          <w:i/>
        </w:rPr>
      </w:pPr>
    </w:p>
    <w:p w:rsidR="00621AB4" w:rsidRPr="00C2053E" w:rsidRDefault="00621AB4" w:rsidP="00C51C46">
      <w:pPr>
        <w:jc w:val="both"/>
        <w:rPr>
          <w:i/>
        </w:rPr>
      </w:pPr>
    </w:p>
    <w:p w:rsidR="00C51C46" w:rsidRPr="00C2053E" w:rsidRDefault="00C51C46" w:rsidP="00C51C46">
      <w:pPr>
        <w:jc w:val="both"/>
        <w:rPr>
          <w:i/>
        </w:rPr>
      </w:pPr>
      <w:r w:rsidRPr="00C2053E">
        <w:rPr>
          <w:i/>
        </w:rPr>
        <w:t>Zakonske i druge pravne osnove</w:t>
      </w:r>
    </w:p>
    <w:p w:rsidR="00C51C46" w:rsidRPr="00C2053E" w:rsidRDefault="00C51C46" w:rsidP="00C51C46">
      <w:pPr>
        <w:jc w:val="both"/>
        <w:rPr>
          <w:i/>
        </w:rPr>
      </w:pPr>
    </w:p>
    <w:p w:rsidR="00023380" w:rsidRPr="00C2053E" w:rsidRDefault="00023380" w:rsidP="00023380">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Zakon o visokom obrazovanju i znanstvenoj djelatnosti (NN 119/22)</w:t>
      </w:r>
    </w:p>
    <w:p w:rsidR="00023380" w:rsidRPr="00C2053E" w:rsidRDefault="00023380" w:rsidP="00023380">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Zakon o osiguravanju kvalitete u visokom obrazovanju i znanosti (NN 151/22)</w:t>
      </w:r>
    </w:p>
    <w:p w:rsidR="00023380" w:rsidRPr="00C2053E" w:rsidRDefault="00023380" w:rsidP="00023380">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Zakon o Hrvatskom kvalifikacijskom okviru (NN22/13, 64/18 i 20/21)</w:t>
      </w:r>
    </w:p>
    <w:p w:rsidR="00023380" w:rsidRPr="00C2053E" w:rsidRDefault="00023380" w:rsidP="00023380">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Nacionalni plan razvoja sustava obrazovanja za razdoblje do 2027. godine</w:t>
      </w:r>
    </w:p>
    <w:p w:rsidR="00023380" w:rsidRPr="00C2053E" w:rsidRDefault="00023380" w:rsidP="00023380">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Plan razvoja obrazovanja Istarske županije do 2030.godine</w:t>
      </w:r>
    </w:p>
    <w:p w:rsidR="00023380" w:rsidRPr="00C2053E" w:rsidRDefault="00023380" w:rsidP="00023380">
      <w:pPr>
        <w:pStyle w:val="ListParagraph"/>
        <w:numPr>
          <w:ilvl w:val="0"/>
          <w:numId w:val="8"/>
        </w:numPr>
        <w:jc w:val="both"/>
        <w:rPr>
          <w:iCs/>
          <w:lang w:bidi="ta-IN"/>
        </w:rPr>
      </w:pPr>
      <w:r w:rsidRPr="00C2053E">
        <w:rPr>
          <w:rFonts w:ascii="Times New Roman" w:eastAsia="Times New Roman" w:hAnsi="Times New Roman" w:cs="Times New Roman"/>
          <w:sz w:val="24"/>
          <w:szCs w:val="24"/>
          <w:lang w:eastAsia="en-GB"/>
        </w:rPr>
        <w:t>Strategija razvoja urbanog područja Pula 2021-2027</w:t>
      </w:r>
    </w:p>
    <w:p w:rsidR="00023380" w:rsidRPr="00C2053E" w:rsidRDefault="00023380" w:rsidP="00023380">
      <w:pPr>
        <w:pStyle w:val="ListParagraph"/>
        <w:numPr>
          <w:ilvl w:val="0"/>
          <w:numId w:val="8"/>
        </w:numPr>
        <w:rPr>
          <w:rFonts w:ascii="Times New Roman" w:eastAsia="Times New Roman" w:hAnsi="Times New Roman" w:cs="Times New Roman"/>
          <w:sz w:val="24"/>
          <w:szCs w:val="24"/>
          <w:lang w:eastAsia="en-GB"/>
        </w:rPr>
      </w:pPr>
      <w:r w:rsidRPr="00C2053E">
        <w:rPr>
          <w:rFonts w:ascii="Times New Roman" w:eastAsia="Times New Roman" w:hAnsi="Times New Roman" w:cs="Times New Roman"/>
          <w:sz w:val="24"/>
          <w:szCs w:val="24"/>
          <w:lang w:eastAsia="en-GB"/>
        </w:rPr>
        <w:t>Uredba o programskom financiranju javnih visokih učilišta i javnih znanstvenih instituta u Republici Hrvatskoj  NN 78/2023</w:t>
      </w:r>
    </w:p>
    <w:p w:rsidR="00023380" w:rsidRPr="00C2053E" w:rsidRDefault="00023380" w:rsidP="00023380">
      <w:pPr>
        <w:pStyle w:val="ListParagraph"/>
        <w:numPr>
          <w:ilvl w:val="0"/>
          <w:numId w:val="8"/>
        </w:numPr>
        <w:jc w:val="both"/>
        <w:rPr>
          <w:iCs/>
          <w:lang w:bidi="ta-IN"/>
        </w:rPr>
      </w:pPr>
      <w:r w:rsidRPr="00C2053E">
        <w:rPr>
          <w:rFonts w:ascii="Times New Roman" w:eastAsia="Times New Roman" w:hAnsi="Times New Roman" w:cs="Times New Roman"/>
          <w:sz w:val="24"/>
          <w:szCs w:val="24"/>
          <w:lang w:eastAsia="en-GB"/>
        </w:rPr>
        <w:t xml:space="preserve">Strategija razvoja karijera za istraživače Sveučilišta Jurja Dobrile u Puli (2024.-2028.) </w:t>
      </w:r>
    </w:p>
    <w:p w:rsidR="00023380" w:rsidRPr="00C2053E" w:rsidRDefault="00023380" w:rsidP="00023380">
      <w:pPr>
        <w:pStyle w:val="ListParagraph"/>
        <w:numPr>
          <w:ilvl w:val="0"/>
          <w:numId w:val="8"/>
        </w:numPr>
        <w:jc w:val="both"/>
        <w:rPr>
          <w:iCs/>
          <w:lang w:bidi="ta-IN"/>
        </w:rPr>
      </w:pPr>
      <w:r w:rsidRPr="00C2053E">
        <w:rPr>
          <w:iCs/>
          <w:lang w:bidi="ta-IN"/>
        </w:rPr>
        <w:t>Istraživačka umjetnička strategija Sveučilišta Jurja Dobrile u Puli (2022.-2026.)</w:t>
      </w:r>
    </w:p>
    <w:p w:rsidR="00023380" w:rsidRPr="00C2053E" w:rsidRDefault="00023380" w:rsidP="00023380">
      <w:pPr>
        <w:pStyle w:val="ListParagraph"/>
        <w:numPr>
          <w:ilvl w:val="0"/>
          <w:numId w:val="8"/>
        </w:numPr>
        <w:jc w:val="both"/>
        <w:rPr>
          <w:iCs/>
          <w:lang w:bidi="ta-IN"/>
        </w:rPr>
      </w:pPr>
      <w:r w:rsidRPr="00C2053E">
        <w:rPr>
          <w:iCs/>
          <w:lang w:bidi="ta-IN"/>
        </w:rPr>
        <w:lastRenderedPageBreak/>
        <w:t>Strategija razvoja Sveučilišta Jurja Dobrile u Puli (2021-2026)</w:t>
      </w:r>
    </w:p>
    <w:p w:rsidR="00023380" w:rsidRPr="00C2053E" w:rsidRDefault="00023380" w:rsidP="00023380">
      <w:pPr>
        <w:pStyle w:val="ListParagraph"/>
        <w:numPr>
          <w:ilvl w:val="0"/>
          <w:numId w:val="8"/>
        </w:numPr>
        <w:jc w:val="both"/>
        <w:rPr>
          <w:iCs/>
          <w:lang w:bidi="ta-IN"/>
        </w:rPr>
      </w:pPr>
      <w:r w:rsidRPr="00C2053E">
        <w:rPr>
          <w:iCs/>
          <w:lang w:bidi="ta-IN"/>
        </w:rPr>
        <w:t>Istraživačka strategija Sveučilišta Jurja Dobrile u Puli (2021.-2026.)</w:t>
      </w:r>
    </w:p>
    <w:p w:rsidR="00023380" w:rsidRPr="00C2053E" w:rsidRDefault="00023380" w:rsidP="00023380">
      <w:pPr>
        <w:pStyle w:val="ListParagraph"/>
        <w:numPr>
          <w:ilvl w:val="0"/>
          <w:numId w:val="8"/>
        </w:numPr>
        <w:jc w:val="both"/>
        <w:rPr>
          <w:iCs/>
          <w:lang w:bidi="ta-IN"/>
        </w:rPr>
      </w:pPr>
      <w:r w:rsidRPr="00C2053E">
        <w:rPr>
          <w:iCs/>
          <w:lang w:bidi="ta-IN"/>
        </w:rPr>
        <w:t>Pravilnik o mjerilima i načinu korištenja namjenskih prihoda proračunskih korisnika iz nadležnosti ministarstva znanosti, obrazovanja i mladih NN 79/2024</w:t>
      </w:r>
    </w:p>
    <w:p w:rsidR="00C51C46" w:rsidRPr="00C2053E" w:rsidRDefault="00023380" w:rsidP="00860A6E">
      <w:pPr>
        <w:pStyle w:val="ListParagraph"/>
        <w:numPr>
          <w:ilvl w:val="0"/>
          <w:numId w:val="8"/>
        </w:numPr>
        <w:jc w:val="both"/>
        <w:rPr>
          <w:i/>
        </w:rPr>
      </w:pPr>
      <w:r w:rsidRPr="00C2053E">
        <w:rPr>
          <w:iCs/>
          <w:lang w:bidi="ta-IN"/>
        </w:rPr>
        <w:t>Pravilnik o mjerilima i načinu korištenja nenamjenskih donacija i vlastitih  prihoda proračunskih korisnika iz nadležnosti ministarstva znanosti, obrazovanja i mladih NN 79/2024</w:t>
      </w:r>
    </w:p>
    <w:p w:rsidR="00DF6C79" w:rsidRPr="00C2053E" w:rsidRDefault="00DF6C79" w:rsidP="00C0168C">
      <w:pPr>
        <w:rPr>
          <w:i/>
          <w:iCs/>
        </w:rPr>
      </w:pPr>
    </w:p>
    <w:tbl>
      <w:tblPr>
        <w:tblStyle w:val="TableGrid"/>
        <w:tblW w:w="0" w:type="auto"/>
        <w:tblLook w:val="04A0" w:firstRow="1" w:lastRow="0" w:firstColumn="1" w:lastColumn="0" w:noHBand="0" w:noVBand="1"/>
      </w:tblPr>
      <w:tblGrid>
        <w:gridCol w:w="1980"/>
        <w:gridCol w:w="1282"/>
        <w:gridCol w:w="1176"/>
        <w:gridCol w:w="1257"/>
        <w:gridCol w:w="1226"/>
        <w:gridCol w:w="1176"/>
        <w:gridCol w:w="965"/>
      </w:tblGrid>
      <w:tr w:rsidR="002B1169" w:rsidRPr="00C2053E" w:rsidTr="00653415">
        <w:tc>
          <w:tcPr>
            <w:tcW w:w="1980" w:type="dxa"/>
            <w:shd w:val="clear" w:color="auto" w:fill="D0CECE" w:themeFill="background2" w:themeFillShade="E6"/>
          </w:tcPr>
          <w:p w:rsidR="002B1169" w:rsidRPr="00C2053E" w:rsidRDefault="002B1169" w:rsidP="00653415">
            <w:pPr>
              <w:jc w:val="both"/>
            </w:pPr>
          </w:p>
          <w:p w:rsidR="002B1169" w:rsidRPr="00C2053E" w:rsidRDefault="002B1169" w:rsidP="00653415">
            <w:pPr>
              <w:jc w:val="both"/>
            </w:pPr>
          </w:p>
        </w:tc>
        <w:tc>
          <w:tcPr>
            <w:tcW w:w="1282" w:type="dxa"/>
            <w:shd w:val="clear" w:color="auto" w:fill="D0CECE" w:themeFill="background2" w:themeFillShade="E6"/>
            <w:vAlign w:val="center"/>
          </w:tcPr>
          <w:p w:rsidR="002B1169" w:rsidRPr="00C2053E" w:rsidRDefault="002B1169" w:rsidP="00653415">
            <w:pPr>
              <w:jc w:val="center"/>
            </w:pPr>
            <w:r w:rsidRPr="00C2053E">
              <w:t>Izvršenje 202</w:t>
            </w:r>
            <w:r w:rsidR="003B7440" w:rsidRPr="00C2053E">
              <w:t>4</w:t>
            </w:r>
            <w:r w:rsidRPr="00C2053E">
              <w:t>.</w:t>
            </w:r>
          </w:p>
        </w:tc>
        <w:tc>
          <w:tcPr>
            <w:tcW w:w="1176" w:type="dxa"/>
            <w:shd w:val="clear" w:color="auto" w:fill="D0CECE" w:themeFill="background2" w:themeFillShade="E6"/>
            <w:vAlign w:val="center"/>
          </w:tcPr>
          <w:p w:rsidR="002B1169" w:rsidRPr="00C2053E" w:rsidRDefault="002B1169" w:rsidP="00653415">
            <w:pPr>
              <w:jc w:val="center"/>
            </w:pPr>
            <w:r w:rsidRPr="00C2053E">
              <w:t>Plan 202</w:t>
            </w:r>
            <w:r w:rsidR="003B7440" w:rsidRPr="00C2053E">
              <w:t>5</w:t>
            </w:r>
            <w:r w:rsidRPr="00C2053E">
              <w:t>.</w:t>
            </w:r>
          </w:p>
        </w:tc>
        <w:tc>
          <w:tcPr>
            <w:tcW w:w="1257" w:type="dxa"/>
            <w:shd w:val="clear" w:color="auto" w:fill="D0CECE" w:themeFill="background2" w:themeFillShade="E6"/>
            <w:vAlign w:val="center"/>
          </w:tcPr>
          <w:p w:rsidR="002B1169" w:rsidRPr="00C2053E" w:rsidRDefault="002B1169" w:rsidP="00653415">
            <w:pPr>
              <w:jc w:val="center"/>
            </w:pPr>
            <w:r w:rsidRPr="00C2053E">
              <w:t>Plan 202</w:t>
            </w:r>
            <w:r w:rsidR="003B7440" w:rsidRPr="00C2053E">
              <w:t>6</w:t>
            </w:r>
            <w:r w:rsidRPr="00C2053E">
              <w:t>.</w:t>
            </w:r>
          </w:p>
        </w:tc>
        <w:tc>
          <w:tcPr>
            <w:tcW w:w="1226" w:type="dxa"/>
            <w:shd w:val="clear" w:color="auto" w:fill="D0CECE" w:themeFill="background2" w:themeFillShade="E6"/>
            <w:vAlign w:val="center"/>
          </w:tcPr>
          <w:p w:rsidR="002B1169" w:rsidRPr="00C2053E" w:rsidRDefault="002B1169" w:rsidP="00653415">
            <w:pPr>
              <w:jc w:val="center"/>
            </w:pPr>
            <w:r w:rsidRPr="00C2053E">
              <w:t>Plan 202</w:t>
            </w:r>
            <w:r w:rsidR="003B7440" w:rsidRPr="00C2053E">
              <w:t>7</w:t>
            </w:r>
            <w:r w:rsidRPr="00C2053E">
              <w:t>.</w:t>
            </w:r>
          </w:p>
        </w:tc>
        <w:tc>
          <w:tcPr>
            <w:tcW w:w="1176" w:type="dxa"/>
            <w:shd w:val="clear" w:color="auto" w:fill="D0CECE" w:themeFill="background2" w:themeFillShade="E6"/>
            <w:vAlign w:val="center"/>
          </w:tcPr>
          <w:p w:rsidR="002B1169" w:rsidRPr="00C2053E" w:rsidRDefault="002B1169" w:rsidP="00653415">
            <w:pPr>
              <w:jc w:val="center"/>
            </w:pPr>
            <w:r w:rsidRPr="00C2053E">
              <w:t>Plan 202</w:t>
            </w:r>
            <w:r w:rsidR="003B7440" w:rsidRPr="00C2053E">
              <w:t>8</w:t>
            </w:r>
            <w:r w:rsidRPr="00C2053E">
              <w:t>.</w:t>
            </w:r>
          </w:p>
        </w:tc>
        <w:tc>
          <w:tcPr>
            <w:tcW w:w="965" w:type="dxa"/>
            <w:shd w:val="clear" w:color="auto" w:fill="D0CECE" w:themeFill="background2" w:themeFillShade="E6"/>
            <w:vAlign w:val="center"/>
          </w:tcPr>
          <w:p w:rsidR="002B1169" w:rsidRPr="00C2053E" w:rsidRDefault="002B1169" w:rsidP="00653415">
            <w:pPr>
              <w:jc w:val="center"/>
            </w:pPr>
            <w:r w:rsidRPr="00C2053E">
              <w:t>Indeks 2</w:t>
            </w:r>
            <w:r w:rsidR="003B7440" w:rsidRPr="00C2053E">
              <w:t>6</w:t>
            </w:r>
            <w:r w:rsidRPr="00C2053E">
              <w:t>./2</w:t>
            </w:r>
            <w:r w:rsidR="003B7440" w:rsidRPr="00C2053E">
              <w:t>5</w:t>
            </w:r>
            <w:r w:rsidRPr="00C2053E">
              <w:t>.</w:t>
            </w:r>
          </w:p>
        </w:tc>
      </w:tr>
      <w:tr w:rsidR="00866394" w:rsidRPr="00C2053E" w:rsidTr="00653415">
        <w:tc>
          <w:tcPr>
            <w:tcW w:w="1980" w:type="dxa"/>
          </w:tcPr>
          <w:p w:rsidR="00866394" w:rsidRPr="00C2053E" w:rsidRDefault="00866394" w:rsidP="00866394">
            <w:r w:rsidRPr="00C2053E">
              <w:t>Šifra aktivnosti/ programa</w:t>
            </w:r>
          </w:p>
          <w:p w:rsidR="00866394" w:rsidRPr="00C2053E" w:rsidRDefault="00866394" w:rsidP="00866394">
            <w:r w:rsidRPr="00C2053E">
              <w:t>K679129</w:t>
            </w:r>
          </w:p>
          <w:p w:rsidR="00866394" w:rsidRPr="00C2053E" w:rsidRDefault="00866394" w:rsidP="00866394">
            <w:r w:rsidRPr="00C2053E">
              <w:t>Razvojne istraživačke potpore</w:t>
            </w:r>
          </w:p>
        </w:tc>
        <w:tc>
          <w:tcPr>
            <w:tcW w:w="1282" w:type="dxa"/>
            <w:shd w:val="clear" w:color="auto" w:fill="auto"/>
          </w:tcPr>
          <w:p w:rsidR="00866394" w:rsidRPr="00C2053E" w:rsidRDefault="00866394" w:rsidP="00866394">
            <w:pPr>
              <w:jc w:val="both"/>
            </w:pPr>
            <w:r w:rsidRPr="00C2053E">
              <w:t>-</w:t>
            </w:r>
          </w:p>
          <w:p w:rsidR="00866394" w:rsidRPr="00C2053E" w:rsidRDefault="00866394" w:rsidP="00866394">
            <w:pPr>
              <w:jc w:val="both"/>
            </w:pPr>
            <w:r w:rsidRPr="00C2053E">
              <w:t xml:space="preserve">   EUR</w:t>
            </w:r>
          </w:p>
        </w:tc>
        <w:tc>
          <w:tcPr>
            <w:tcW w:w="1176" w:type="dxa"/>
          </w:tcPr>
          <w:p w:rsidR="00866394" w:rsidRPr="00C2053E" w:rsidRDefault="00866394" w:rsidP="00866394">
            <w:pPr>
              <w:jc w:val="both"/>
              <w:rPr>
                <w:lang w:val="en-US"/>
              </w:rPr>
            </w:pPr>
            <w:r w:rsidRPr="00C2053E">
              <w:rPr>
                <w:lang w:val="en-US"/>
              </w:rPr>
              <w:t>-</w:t>
            </w:r>
          </w:p>
          <w:p w:rsidR="00866394" w:rsidRPr="00C2053E" w:rsidRDefault="00866394" w:rsidP="00866394">
            <w:pPr>
              <w:jc w:val="both"/>
              <w:rPr>
                <w:lang w:val="en-US"/>
              </w:rPr>
            </w:pPr>
            <w:r w:rsidRPr="00C2053E">
              <w:rPr>
                <w:lang w:val="en-US"/>
              </w:rPr>
              <w:t xml:space="preserve"> EUR</w:t>
            </w:r>
          </w:p>
        </w:tc>
        <w:tc>
          <w:tcPr>
            <w:tcW w:w="1257" w:type="dxa"/>
          </w:tcPr>
          <w:p w:rsidR="00866394" w:rsidRPr="00C2053E" w:rsidRDefault="00866394" w:rsidP="00866394">
            <w:pPr>
              <w:jc w:val="both"/>
              <w:rPr>
                <w:lang w:val="en-US"/>
              </w:rPr>
            </w:pPr>
            <w:r w:rsidRPr="00C2053E">
              <w:rPr>
                <w:lang w:val="en-US"/>
              </w:rPr>
              <w:t>17.900 EUR</w:t>
            </w:r>
          </w:p>
        </w:tc>
        <w:tc>
          <w:tcPr>
            <w:tcW w:w="1226" w:type="dxa"/>
          </w:tcPr>
          <w:p w:rsidR="00866394" w:rsidRPr="00C2053E" w:rsidRDefault="00866394" w:rsidP="00866394">
            <w:pPr>
              <w:jc w:val="both"/>
              <w:rPr>
                <w:lang w:val="en-US"/>
              </w:rPr>
            </w:pPr>
            <w:r w:rsidRPr="00C2053E">
              <w:rPr>
                <w:lang w:val="en-US"/>
              </w:rPr>
              <w:t>-</w:t>
            </w:r>
          </w:p>
          <w:p w:rsidR="00866394" w:rsidRPr="00C2053E" w:rsidRDefault="00866394" w:rsidP="00866394">
            <w:pPr>
              <w:jc w:val="both"/>
              <w:rPr>
                <w:lang w:val="en-US"/>
              </w:rPr>
            </w:pPr>
            <w:r w:rsidRPr="00C2053E">
              <w:rPr>
                <w:lang w:val="en-US"/>
              </w:rPr>
              <w:t xml:space="preserve"> EUR</w:t>
            </w:r>
          </w:p>
        </w:tc>
        <w:tc>
          <w:tcPr>
            <w:tcW w:w="1176" w:type="dxa"/>
          </w:tcPr>
          <w:p w:rsidR="00866394" w:rsidRPr="00C2053E" w:rsidRDefault="00866394" w:rsidP="00866394">
            <w:pPr>
              <w:jc w:val="both"/>
              <w:rPr>
                <w:lang w:val="en-US"/>
              </w:rPr>
            </w:pPr>
            <w:r w:rsidRPr="00C2053E">
              <w:rPr>
                <w:lang w:val="en-US"/>
              </w:rPr>
              <w:t>-</w:t>
            </w:r>
          </w:p>
          <w:p w:rsidR="00866394" w:rsidRPr="00C2053E" w:rsidRDefault="00866394" w:rsidP="00866394">
            <w:pPr>
              <w:jc w:val="both"/>
              <w:rPr>
                <w:lang w:val="en-US"/>
              </w:rPr>
            </w:pPr>
            <w:r w:rsidRPr="00C2053E">
              <w:rPr>
                <w:lang w:val="en-US"/>
              </w:rPr>
              <w:t xml:space="preserve"> EUR</w:t>
            </w:r>
          </w:p>
        </w:tc>
        <w:tc>
          <w:tcPr>
            <w:tcW w:w="965" w:type="dxa"/>
          </w:tcPr>
          <w:p w:rsidR="00866394" w:rsidRPr="00C2053E" w:rsidRDefault="00866394" w:rsidP="00866394">
            <w:pPr>
              <w:jc w:val="both"/>
              <w:rPr>
                <w:lang w:val="en-US"/>
              </w:rPr>
            </w:pPr>
            <w:r w:rsidRPr="00C2053E">
              <w:t>-</w:t>
            </w:r>
          </w:p>
        </w:tc>
      </w:tr>
    </w:tbl>
    <w:p w:rsidR="002B1169" w:rsidRPr="00C2053E" w:rsidRDefault="002B1169" w:rsidP="00D42AF8">
      <w:pPr>
        <w:spacing w:after="200"/>
        <w:jc w:val="both"/>
        <w:rPr>
          <w:bCs/>
          <w:i/>
          <w:iCs/>
        </w:rPr>
      </w:pPr>
    </w:p>
    <w:p w:rsidR="00DA719A" w:rsidRPr="00C2053E" w:rsidRDefault="00866394" w:rsidP="00C238BD">
      <w:pPr>
        <w:jc w:val="both"/>
        <w:rPr>
          <w:i/>
        </w:rPr>
      </w:pPr>
      <w:bookmarkStart w:id="2" w:name="_Hlk216995439"/>
      <w:r w:rsidRPr="00C2053E">
        <w:rPr>
          <w:i/>
        </w:rPr>
        <w:t>P</w:t>
      </w:r>
      <w:r w:rsidR="00C238BD" w:rsidRPr="00C2053E">
        <w:rPr>
          <w:i/>
        </w:rPr>
        <w:t xml:space="preserve">o ovoj osnovi </w:t>
      </w:r>
      <w:r w:rsidR="003B7440" w:rsidRPr="00C2053E">
        <w:rPr>
          <w:i/>
        </w:rPr>
        <w:t xml:space="preserve">planirano je </w:t>
      </w:r>
      <w:r w:rsidRPr="00C2053E">
        <w:rPr>
          <w:i/>
        </w:rPr>
        <w:t>u 2026. godini iznos od 17.900 EUR</w:t>
      </w:r>
      <w:r w:rsidR="00831925" w:rsidRPr="00C2053E">
        <w:rPr>
          <w:i/>
        </w:rPr>
        <w:t xml:space="preserve"> na izvoru 581</w:t>
      </w:r>
      <w:r w:rsidR="00DA719A" w:rsidRPr="00C2053E">
        <w:rPr>
          <w:i/>
        </w:rPr>
        <w:t xml:space="preserve"> – NPOO – Mehanizam za oporavak i otpornost – bespovratna sredstva..</w:t>
      </w:r>
    </w:p>
    <w:p w:rsidR="00153BD8" w:rsidRPr="00C2053E" w:rsidRDefault="00153BD8" w:rsidP="00C238BD">
      <w:pPr>
        <w:jc w:val="both"/>
        <w:rPr>
          <w:i/>
        </w:rPr>
      </w:pPr>
    </w:p>
    <w:p w:rsidR="00921BDD" w:rsidRDefault="00DA719A" w:rsidP="00C238BD">
      <w:pPr>
        <w:jc w:val="both"/>
        <w:rPr>
          <w:i/>
        </w:rPr>
      </w:pPr>
      <w:r w:rsidRPr="00C2053E">
        <w:rPr>
          <w:i/>
        </w:rPr>
        <w:t>Ostatak</w:t>
      </w:r>
      <w:r w:rsidR="00C238BD" w:rsidRPr="00C2053E">
        <w:rPr>
          <w:i/>
        </w:rPr>
        <w:t xml:space="preserve">  </w:t>
      </w:r>
      <w:r w:rsidRPr="00C2053E">
        <w:rPr>
          <w:i/>
        </w:rPr>
        <w:t xml:space="preserve">od 12.800 EUR u 2026, te po 30.700 EUR u 2027. i 2028. godini planiran je na izvoru 5011 – Pomoći iz državnog proračuna kroz opće prihode i </w:t>
      </w:r>
      <w:bookmarkStart w:id="3" w:name="_Hlk216995605"/>
      <w:r w:rsidRPr="00C2053E">
        <w:rPr>
          <w:i/>
        </w:rPr>
        <w:t>primitke</w:t>
      </w:r>
      <w:bookmarkEnd w:id="2"/>
      <w:bookmarkEnd w:id="3"/>
      <w:r w:rsidR="00835EA5">
        <w:rPr>
          <w:i/>
        </w:rPr>
        <w:t>.</w:t>
      </w:r>
    </w:p>
    <w:p w:rsidR="00835EA5" w:rsidRPr="00C2053E" w:rsidRDefault="00835EA5" w:rsidP="00C238BD">
      <w:pPr>
        <w:jc w:val="both"/>
        <w:rPr>
          <w:i/>
        </w:rPr>
      </w:pPr>
    </w:p>
    <w:p w:rsidR="00C54B88" w:rsidRPr="00C2053E" w:rsidRDefault="00921BDD" w:rsidP="00D42AF8">
      <w:pPr>
        <w:spacing w:after="200"/>
        <w:jc w:val="both"/>
        <w:rPr>
          <w:bCs/>
          <w:i/>
          <w:iCs/>
        </w:rPr>
      </w:pPr>
      <w:r w:rsidRPr="00C2053E">
        <w:rPr>
          <w:bCs/>
          <w:i/>
          <w:iCs/>
        </w:rPr>
        <w:t>Zbog promjene metodologije 2024. i 2025 godina nisu popunjene.</w:t>
      </w:r>
      <w:r w:rsidR="008A0ABD" w:rsidRPr="00C2053E">
        <w:rPr>
          <w:bCs/>
          <w:i/>
          <w:iCs/>
        </w:rPr>
        <w:tab/>
      </w:r>
    </w:p>
    <w:p w:rsidR="00866394" w:rsidRPr="00C2053E" w:rsidRDefault="00866394" w:rsidP="00D42AF8">
      <w:pPr>
        <w:spacing w:after="200"/>
        <w:jc w:val="both"/>
      </w:pPr>
    </w:p>
    <w:p w:rsidR="00265069" w:rsidRPr="00C2053E" w:rsidRDefault="00265069" w:rsidP="00265069">
      <w:pPr>
        <w:pStyle w:val="ListParagraph"/>
        <w:jc w:val="both"/>
        <w:rPr>
          <w:rFonts w:ascii="Times New Roman" w:hAnsi="Times New Roman" w:cs="Times New Roman"/>
          <w:i/>
        </w:rPr>
      </w:pPr>
      <w:r w:rsidRPr="00C2053E">
        <w:rPr>
          <w:rFonts w:ascii="Times New Roman" w:hAnsi="Times New Roman" w:cs="Times New Roman"/>
          <w:i/>
        </w:rPr>
        <w:t>Nastavno su prikazani ciljevi  i očekivani rezultati u predstojećem planskom razdoblju:</w:t>
      </w:r>
    </w:p>
    <w:tbl>
      <w:tblPr>
        <w:tblStyle w:val="TableGrid"/>
        <w:tblW w:w="9780" w:type="dxa"/>
        <w:jc w:val="center"/>
        <w:tblLayout w:type="fixed"/>
        <w:tblCellMar>
          <w:left w:w="0" w:type="dxa"/>
          <w:right w:w="0" w:type="dxa"/>
        </w:tblCellMar>
        <w:tblLook w:val="04A0" w:firstRow="1" w:lastRow="0" w:firstColumn="1" w:lastColumn="0" w:noHBand="0" w:noVBand="1"/>
      </w:tblPr>
      <w:tblGrid>
        <w:gridCol w:w="1837"/>
        <w:gridCol w:w="1984"/>
        <w:gridCol w:w="1275"/>
        <w:gridCol w:w="998"/>
        <w:gridCol w:w="1134"/>
        <w:gridCol w:w="851"/>
        <w:gridCol w:w="850"/>
        <w:gridCol w:w="851"/>
      </w:tblGrid>
      <w:tr w:rsidR="00265069"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65069" w:rsidRPr="00C2053E" w:rsidRDefault="00265069" w:rsidP="002525DA">
            <w:pPr>
              <w:jc w:val="center"/>
              <w:rPr>
                <w:sz w:val="20"/>
              </w:rPr>
            </w:pPr>
            <w:r w:rsidRPr="00C2053E">
              <w:rPr>
                <w:sz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65069" w:rsidRPr="00C2053E" w:rsidRDefault="00265069" w:rsidP="002525DA">
            <w:pPr>
              <w:jc w:val="center"/>
              <w:rPr>
                <w:sz w:val="20"/>
              </w:rPr>
            </w:pPr>
            <w:r w:rsidRPr="00C2053E">
              <w:rPr>
                <w:sz w:val="20"/>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65069" w:rsidRPr="00C2053E" w:rsidRDefault="00265069" w:rsidP="002525DA">
            <w:pPr>
              <w:jc w:val="center"/>
              <w:rPr>
                <w:sz w:val="20"/>
              </w:rPr>
            </w:pPr>
            <w:r w:rsidRPr="00C2053E">
              <w:rPr>
                <w:sz w:val="20"/>
              </w:rPr>
              <w:t>Jedinica</w:t>
            </w:r>
          </w:p>
        </w:tc>
        <w:tc>
          <w:tcPr>
            <w:tcW w:w="9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65069" w:rsidRPr="00C2053E" w:rsidRDefault="00265069" w:rsidP="002525DA">
            <w:pPr>
              <w:jc w:val="center"/>
              <w:rPr>
                <w:sz w:val="20"/>
              </w:rPr>
            </w:pPr>
            <w:r w:rsidRPr="00C2053E">
              <w:rPr>
                <w:sz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65069" w:rsidRPr="00C2053E" w:rsidRDefault="00265069" w:rsidP="002525DA">
            <w:pPr>
              <w:jc w:val="center"/>
              <w:rPr>
                <w:sz w:val="20"/>
              </w:rPr>
            </w:pPr>
            <w:r w:rsidRPr="00C2053E">
              <w:rPr>
                <w:sz w:val="20"/>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265069" w:rsidRPr="00C2053E" w:rsidRDefault="00265069" w:rsidP="002525DA">
            <w:pPr>
              <w:jc w:val="center"/>
              <w:rPr>
                <w:sz w:val="20"/>
              </w:rPr>
            </w:pPr>
            <w:r w:rsidRPr="00C2053E">
              <w:rPr>
                <w:sz w:val="20"/>
              </w:rPr>
              <w:t>Ciljana vrijednost za 2026.</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265069" w:rsidRPr="00C2053E" w:rsidRDefault="00265069" w:rsidP="002525DA">
            <w:pPr>
              <w:jc w:val="center"/>
              <w:rPr>
                <w:sz w:val="20"/>
              </w:rPr>
            </w:pPr>
            <w:r w:rsidRPr="00C2053E">
              <w:rPr>
                <w:sz w:val="20"/>
              </w:rPr>
              <w:t>Ciljana vrijednost za 2027.</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265069" w:rsidRPr="00C2053E" w:rsidRDefault="00265069" w:rsidP="002525DA">
            <w:pPr>
              <w:jc w:val="center"/>
              <w:rPr>
                <w:sz w:val="20"/>
              </w:rPr>
            </w:pPr>
            <w:r w:rsidRPr="00C2053E">
              <w:rPr>
                <w:sz w:val="20"/>
              </w:rPr>
              <w:t>Ciljana vrijednost za 2028.</w:t>
            </w:r>
          </w:p>
        </w:tc>
      </w:tr>
      <w:tr w:rsidR="00265069"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65069" w:rsidRPr="00C2053E" w:rsidRDefault="00265069" w:rsidP="002525DA">
            <w:pPr>
              <w:rPr>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65069" w:rsidRPr="00C2053E" w:rsidRDefault="00265069" w:rsidP="002525DA">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65069" w:rsidRPr="00C2053E" w:rsidRDefault="00265069" w:rsidP="002525DA">
            <w:pPr>
              <w:jc w:val="center"/>
              <w:rPr>
                <w:sz w:val="20"/>
              </w:rPr>
            </w:pPr>
          </w:p>
        </w:tc>
        <w:tc>
          <w:tcPr>
            <w:tcW w:w="9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65069" w:rsidRPr="00C2053E" w:rsidRDefault="00265069" w:rsidP="002525DA">
            <w:pPr>
              <w:jc w:val="cente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65069" w:rsidRPr="00C2053E" w:rsidRDefault="00265069" w:rsidP="002525DA">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65069" w:rsidRPr="00C2053E" w:rsidRDefault="00265069" w:rsidP="002525DA">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65069" w:rsidRPr="00C2053E" w:rsidRDefault="00265069" w:rsidP="002525DA">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65069" w:rsidRPr="00C2053E" w:rsidRDefault="00265069" w:rsidP="002525DA">
            <w:pPr>
              <w:jc w:val="center"/>
              <w:rPr>
                <w:sz w:val="20"/>
              </w:rPr>
            </w:pPr>
          </w:p>
        </w:tc>
      </w:tr>
      <w:tr w:rsidR="00265069"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sz w:val="20"/>
              </w:rPr>
            </w:pPr>
          </w:p>
          <w:p w:rsidR="00265069" w:rsidRPr="00C2053E" w:rsidRDefault="00265069" w:rsidP="002525DA">
            <w:pPr>
              <w:jc w:val="center"/>
              <w:rPr>
                <w:sz w:val="20"/>
              </w:rPr>
            </w:pPr>
            <w:r w:rsidRPr="00C2053E">
              <w:rPr>
                <w:sz w:val="20"/>
              </w:rPr>
              <w:t xml:space="preserve">Broj </w:t>
            </w:r>
            <w:proofErr w:type="spellStart"/>
            <w:r w:rsidRPr="00C2053E">
              <w:rPr>
                <w:sz w:val="20"/>
              </w:rPr>
              <w:t>diseminacijskih</w:t>
            </w:r>
            <w:proofErr w:type="spellEnd"/>
            <w:r w:rsidRPr="00C2053E">
              <w:rPr>
                <w:sz w:val="20"/>
              </w:rPr>
              <w:t xml:space="preserve"> aktivnosti </w:t>
            </w:r>
          </w:p>
        </w:tc>
        <w:tc>
          <w:tcPr>
            <w:tcW w:w="198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rPr>
                <w:iCs/>
                <w:sz w:val="20"/>
              </w:rPr>
            </w:pPr>
            <w:r w:rsidRPr="00C2053E">
              <w:rPr>
                <w:iCs/>
                <w:sz w:val="20"/>
              </w:rPr>
              <w:t>Održano predavanje doktoranda na znanstvenom skupu (seminar, radionica, konferencija)</w:t>
            </w:r>
          </w:p>
        </w:tc>
        <w:tc>
          <w:tcPr>
            <w:tcW w:w="1275"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Predavanje na skupu</w:t>
            </w:r>
          </w:p>
        </w:tc>
        <w:tc>
          <w:tcPr>
            <w:tcW w:w="998"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Izvješće projekta SMART-</w:t>
            </w:r>
            <w:proofErr w:type="spellStart"/>
            <w:r w:rsidRPr="00C2053E">
              <w:rPr>
                <w:i/>
                <w:sz w:val="20"/>
              </w:rPr>
              <w:t>Langlands</w:t>
            </w:r>
            <w:proofErr w:type="spellEnd"/>
            <w:r w:rsidRPr="00C2053E">
              <w:rPr>
                <w:i/>
                <w:sz w:val="20"/>
              </w:rPr>
              <w:t xml:space="preserve"> HRZZ-IP-2022-10-4615</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8</w:t>
            </w:r>
          </w:p>
        </w:tc>
        <w:tc>
          <w:tcPr>
            <w:tcW w:w="850"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10</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12</w:t>
            </w:r>
          </w:p>
        </w:tc>
      </w:tr>
      <w:tr w:rsidR="00265069"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rPr>
                <w:sz w:val="20"/>
              </w:rPr>
            </w:pPr>
            <w:r w:rsidRPr="00C2053E">
              <w:rPr>
                <w:sz w:val="20"/>
              </w:rPr>
              <w:t>Broj znanstvenih radova</w:t>
            </w:r>
          </w:p>
        </w:tc>
        <w:tc>
          <w:tcPr>
            <w:tcW w:w="198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rPr>
                <w:iCs/>
                <w:sz w:val="20"/>
              </w:rPr>
            </w:pPr>
            <w:r w:rsidRPr="00C2053E">
              <w:rPr>
                <w:iCs/>
                <w:sz w:val="20"/>
              </w:rPr>
              <w:t>Znanstveni rad doktoranda napisan i poslan na recenziju u časopis</w:t>
            </w:r>
          </w:p>
        </w:tc>
        <w:tc>
          <w:tcPr>
            <w:tcW w:w="1275"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Znanstveni rad</w:t>
            </w:r>
          </w:p>
        </w:tc>
        <w:tc>
          <w:tcPr>
            <w:tcW w:w="998"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Izvješće projekta SMART-</w:t>
            </w:r>
            <w:proofErr w:type="spellStart"/>
            <w:r w:rsidRPr="00C2053E">
              <w:rPr>
                <w:i/>
                <w:sz w:val="20"/>
              </w:rPr>
              <w:t>Langlands</w:t>
            </w:r>
            <w:proofErr w:type="spellEnd"/>
            <w:r w:rsidRPr="00C2053E">
              <w:rPr>
                <w:i/>
                <w:sz w:val="20"/>
              </w:rPr>
              <w:t xml:space="preserve"> HRZZ-IP-2022-10-4615</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1</w:t>
            </w:r>
          </w:p>
        </w:tc>
        <w:tc>
          <w:tcPr>
            <w:tcW w:w="850"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1</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2</w:t>
            </w:r>
          </w:p>
        </w:tc>
      </w:tr>
      <w:tr w:rsidR="00265069"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sz w:val="20"/>
              </w:rPr>
            </w:pPr>
            <w:r w:rsidRPr="00C2053E">
              <w:rPr>
                <w:sz w:val="20"/>
              </w:rPr>
              <w:t>Broj razvijenih softverskih alata</w:t>
            </w:r>
          </w:p>
        </w:tc>
        <w:tc>
          <w:tcPr>
            <w:tcW w:w="198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rPr>
                <w:iCs/>
                <w:sz w:val="20"/>
              </w:rPr>
            </w:pPr>
            <w:r w:rsidRPr="00C2053E">
              <w:rPr>
                <w:iCs/>
                <w:sz w:val="20"/>
              </w:rPr>
              <w:t xml:space="preserve">Razvijen softverski alat za potrebe projekta </w:t>
            </w:r>
          </w:p>
        </w:tc>
        <w:tc>
          <w:tcPr>
            <w:tcW w:w="1275"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Softverski alat</w:t>
            </w:r>
          </w:p>
        </w:tc>
        <w:tc>
          <w:tcPr>
            <w:tcW w:w="998"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Izvješće projekta SMART-</w:t>
            </w:r>
            <w:proofErr w:type="spellStart"/>
            <w:r w:rsidRPr="00C2053E">
              <w:rPr>
                <w:i/>
                <w:sz w:val="20"/>
              </w:rPr>
              <w:t>Langlands</w:t>
            </w:r>
            <w:proofErr w:type="spellEnd"/>
            <w:r w:rsidRPr="00C2053E">
              <w:rPr>
                <w:i/>
                <w:sz w:val="20"/>
              </w:rPr>
              <w:t xml:space="preserve"> HRZZ-IP-</w:t>
            </w:r>
            <w:r w:rsidRPr="00C2053E">
              <w:rPr>
                <w:i/>
                <w:sz w:val="20"/>
              </w:rPr>
              <w:lastRenderedPageBreak/>
              <w:t>2022-10-4615</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1</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1</w:t>
            </w:r>
          </w:p>
        </w:tc>
      </w:tr>
      <w:tr w:rsidR="00265069" w:rsidRPr="00C2053E" w:rsidTr="002525DA">
        <w:trPr>
          <w:jc w:val="center"/>
        </w:trPr>
        <w:tc>
          <w:tcPr>
            <w:tcW w:w="1837"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sz w:val="20"/>
              </w:rPr>
            </w:pPr>
            <w:r w:rsidRPr="00C2053E">
              <w:rPr>
                <w:sz w:val="20"/>
              </w:rPr>
              <w:t>Broj usavršavanja</w:t>
            </w:r>
          </w:p>
        </w:tc>
        <w:tc>
          <w:tcPr>
            <w:tcW w:w="198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rPr>
                <w:iCs/>
                <w:sz w:val="20"/>
              </w:rPr>
            </w:pPr>
            <w:r w:rsidRPr="00C2053E">
              <w:rPr>
                <w:iCs/>
                <w:sz w:val="20"/>
              </w:rPr>
              <w:t>Sudjelovanje doktoranda na znanstvenom  usavršavanju (doktorske škole, radionice, konferencije, gostovanja)</w:t>
            </w:r>
          </w:p>
        </w:tc>
        <w:tc>
          <w:tcPr>
            <w:tcW w:w="1275"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Sudjelovanje na skupu ili instituciji</w:t>
            </w:r>
          </w:p>
        </w:tc>
        <w:tc>
          <w:tcPr>
            <w:tcW w:w="998"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sz w:val="20"/>
              </w:rPr>
            </w:pPr>
            <w:r w:rsidRPr="00C2053E">
              <w:rPr>
                <w:i/>
                <w:sz w:val="20"/>
              </w:rPr>
              <w:t>Izvješće projekta SMART-</w:t>
            </w:r>
            <w:proofErr w:type="spellStart"/>
            <w:r w:rsidRPr="00C2053E">
              <w:rPr>
                <w:i/>
                <w:sz w:val="20"/>
              </w:rPr>
              <w:t>Langlands</w:t>
            </w:r>
            <w:proofErr w:type="spellEnd"/>
            <w:r w:rsidRPr="00C2053E">
              <w:rPr>
                <w:i/>
                <w:sz w:val="20"/>
              </w:rPr>
              <w:t xml:space="preserve"> HRZZ-IP-2022-10-4615</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4</w:t>
            </w:r>
          </w:p>
        </w:tc>
        <w:tc>
          <w:tcPr>
            <w:tcW w:w="850"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5</w:t>
            </w:r>
          </w:p>
        </w:tc>
        <w:tc>
          <w:tcPr>
            <w:tcW w:w="851" w:type="dxa"/>
            <w:tcBorders>
              <w:top w:val="single" w:sz="4" w:space="0" w:color="auto"/>
              <w:left w:val="single" w:sz="4" w:space="0" w:color="auto"/>
              <w:bottom w:val="single" w:sz="4" w:space="0" w:color="auto"/>
              <w:right w:val="single" w:sz="4" w:space="0" w:color="auto"/>
            </w:tcBorders>
            <w:vAlign w:val="center"/>
          </w:tcPr>
          <w:p w:rsidR="00265069" w:rsidRPr="00C2053E" w:rsidRDefault="00265069" w:rsidP="002525DA">
            <w:pPr>
              <w:jc w:val="center"/>
              <w:rPr>
                <w:i/>
              </w:rPr>
            </w:pPr>
            <w:r w:rsidRPr="00C2053E">
              <w:rPr>
                <w:i/>
              </w:rPr>
              <w:t>5</w:t>
            </w:r>
          </w:p>
        </w:tc>
      </w:tr>
    </w:tbl>
    <w:p w:rsidR="00265069" w:rsidRPr="00C2053E" w:rsidRDefault="00265069" w:rsidP="00265069">
      <w:pPr>
        <w:spacing w:after="200"/>
        <w:jc w:val="both"/>
      </w:pPr>
    </w:p>
    <w:p w:rsidR="00F706C1" w:rsidRPr="00C2053E" w:rsidRDefault="00F706C1" w:rsidP="00C54B88">
      <w:pPr>
        <w:jc w:val="both"/>
      </w:pPr>
    </w:p>
    <w:p w:rsidR="00C51C46" w:rsidRPr="00C2053E" w:rsidRDefault="00C51C46" w:rsidP="00C51C46">
      <w:pPr>
        <w:jc w:val="both"/>
        <w:rPr>
          <w:i/>
        </w:rPr>
      </w:pPr>
    </w:p>
    <w:p w:rsidR="00C51C46" w:rsidRPr="00C2053E" w:rsidRDefault="00C51C46" w:rsidP="00C51C46">
      <w:pPr>
        <w:jc w:val="both"/>
        <w:rPr>
          <w:i/>
        </w:rPr>
      </w:pPr>
    </w:p>
    <w:p w:rsidR="00C51C46" w:rsidRPr="00C2053E" w:rsidRDefault="00C51C46" w:rsidP="00C51C46">
      <w:pPr>
        <w:jc w:val="both"/>
        <w:rPr>
          <w:i/>
        </w:rPr>
      </w:pPr>
    </w:p>
    <w:p w:rsidR="00C82588" w:rsidRPr="00B77F75" w:rsidRDefault="00C82588" w:rsidP="00EF05CF">
      <w:pPr>
        <w:jc w:val="both"/>
      </w:pPr>
      <w:r w:rsidRPr="00C2053E">
        <w:tab/>
      </w:r>
      <w:r w:rsidRPr="00C2053E">
        <w:tab/>
      </w:r>
      <w:r w:rsidRPr="00C2053E">
        <w:tab/>
      </w:r>
      <w:r w:rsidRPr="00C2053E">
        <w:tab/>
      </w:r>
      <w:r w:rsidRPr="00C2053E">
        <w:tab/>
      </w:r>
      <w:r w:rsidRPr="00C2053E">
        <w:tab/>
      </w:r>
      <w:r w:rsidRPr="00C2053E">
        <w:tab/>
      </w:r>
      <w:r w:rsidRPr="00C2053E">
        <w:tab/>
        <w:t>Rektor:</w:t>
      </w:r>
    </w:p>
    <w:p w:rsidR="00C82588" w:rsidRPr="00B77F75" w:rsidRDefault="00C82588" w:rsidP="00EF05CF">
      <w:pPr>
        <w:jc w:val="both"/>
      </w:pPr>
      <w:r w:rsidRPr="00B77F75">
        <w:tab/>
      </w:r>
      <w:r w:rsidRPr="00B77F75">
        <w:tab/>
      </w:r>
      <w:r w:rsidRPr="00B77F75">
        <w:tab/>
      </w:r>
      <w:r w:rsidRPr="00B77F75">
        <w:tab/>
      </w:r>
      <w:r w:rsidRPr="00B77F75">
        <w:tab/>
      </w:r>
      <w:r w:rsidRPr="00B77F75">
        <w:tab/>
      </w:r>
      <w:r w:rsidRPr="00B77F75">
        <w:tab/>
      </w:r>
      <w:r w:rsidRPr="00B77F75">
        <w:tab/>
        <w:t xml:space="preserve">Prof.dr.sc. </w:t>
      </w:r>
      <w:r w:rsidR="00BF2021" w:rsidRPr="00B77F75">
        <w:t>Marinko Škare</w:t>
      </w:r>
    </w:p>
    <w:sectPr w:rsidR="00C82588" w:rsidRPr="00B77F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261" w:rsidRDefault="00543261">
      <w:r>
        <w:separator/>
      </w:r>
    </w:p>
  </w:endnote>
  <w:endnote w:type="continuationSeparator" w:id="0">
    <w:p w:rsidR="00543261" w:rsidRDefault="0054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gnaPro-Con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Content>
      <w:p w:rsidR="009F43C2" w:rsidRDefault="009F43C2">
        <w:pPr>
          <w:pStyle w:val="Footer"/>
          <w:jc w:val="right"/>
        </w:pPr>
        <w:r>
          <w:fldChar w:fldCharType="begin"/>
        </w:r>
        <w:r>
          <w:instrText>PAGE   \* MERGEFORMAT</w:instrText>
        </w:r>
        <w:r>
          <w:fldChar w:fldCharType="separate"/>
        </w:r>
        <w:r>
          <w:rPr>
            <w:noProof/>
          </w:rPr>
          <w:t>25</w:t>
        </w:r>
        <w:r>
          <w:fldChar w:fldCharType="end"/>
        </w:r>
      </w:p>
    </w:sdtContent>
  </w:sdt>
  <w:p w:rsidR="009F43C2" w:rsidRDefault="009F4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261" w:rsidRDefault="00543261">
      <w:r>
        <w:separator/>
      </w:r>
    </w:p>
  </w:footnote>
  <w:footnote w:type="continuationSeparator" w:id="0">
    <w:p w:rsidR="00543261" w:rsidRDefault="0054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D65"/>
    <w:multiLevelType w:val="hybridMultilevel"/>
    <w:tmpl w:val="0FB4A7DA"/>
    <w:lvl w:ilvl="0" w:tplc="04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51CE6"/>
    <w:multiLevelType w:val="hybridMultilevel"/>
    <w:tmpl w:val="E39457B4"/>
    <w:lvl w:ilvl="0" w:tplc="041A0001">
      <w:start w:val="1"/>
      <w:numFmt w:val="bullet"/>
      <w:lvlText w:val=""/>
      <w:lvlJc w:val="left"/>
      <w:pPr>
        <w:ind w:left="1570" w:hanging="360"/>
      </w:pPr>
      <w:rPr>
        <w:rFonts w:ascii="Symbol" w:hAnsi="Symbol" w:hint="default"/>
      </w:rPr>
    </w:lvl>
    <w:lvl w:ilvl="1" w:tplc="041A0003">
      <w:start w:val="1"/>
      <w:numFmt w:val="bullet"/>
      <w:lvlText w:val="o"/>
      <w:lvlJc w:val="left"/>
      <w:pPr>
        <w:ind w:left="2290" w:hanging="360"/>
      </w:pPr>
      <w:rPr>
        <w:rFonts w:ascii="Courier New" w:hAnsi="Courier New" w:cs="Courier New" w:hint="default"/>
      </w:rPr>
    </w:lvl>
    <w:lvl w:ilvl="2" w:tplc="041A0005" w:tentative="1">
      <w:start w:val="1"/>
      <w:numFmt w:val="bullet"/>
      <w:lvlText w:val=""/>
      <w:lvlJc w:val="left"/>
      <w:pPr>
        <w:ind w:left="3010" w:hanging="360"/>
      </w:pPr>
      <w:rPr>
        <w:rFonts w:ascii="Wingdings" w:hAnsi="Wingdings" w:hint="default"/>
      </w:rPr>
    </w:lvl>
    <w:lvl w:ilvl="3" w:tplc="041A0001" w:tentative="1">
      <w:start w:val="1"/>
      <w:numFmt w:val="bullet"/>
      <w:lvlText w:val=""/>
      <w:lvlJc w:val="left"/>
      <w:pPr>
        <w:ind w:left="3730" w:hanging="360"/>
      </w:pPr>
      <w:rPr>
        <w:rFonts w:ascii="Symbol" w:hAnsi="Symbol" w:hint="default"/>
      </w:rPr>
    </w:lvl>
    <w:lvl w:ilvl="4" w:tplc="041A0003" w:tentative="1">
      <w:start w:val="1"/>
      <w:numFmt w:val="bullet"/>
      <w:lvlText w:val="o"/>
      <w:lvlJc w:val="left"/>
      <w:pPr>
        <w:ind w:left="4450" w:hanging="360"/>
      </w:pPr>
      <w:rPr>
        <w:rFonts w:ascii="Courier New" w:hAnsi="Courier New" w:cs="Courier New" w:hint="default"/>
      </w:rPr>
    </w:lvl>
    <w:lvl w:ilvl="5" w:tplc="041A0005" w:tentative="1">
      <w:start w:val="1"/>
      <w:numFmt w:val="bullet"/>
      <w:lvlText w:val=""/>
      <w:lvlJc w:val="left"/>
      <w:pPr>
        <w:ind w:left="5170" w:hanging="360"/>
      </w:pPr>
      <w:rPr>
        <w:rFonts w:ascii="Wingdings" w:hAnsi="Wingdings" w:hint="default"/>
      </w:rPr>
    </w:lvl>
    <w:lvl w:ilvl="6" w:tplc="041A0001" w:tentative="1">
      <w:start w:val="1"/>
      <w:numFmt w:val="bullet"/>
      <w:lvlText w:val=""/>
      <w:lvlJc w:val="left"/>
      <w:pPr>
        <w:ind w:left="5890" w:hanging="360"/>
      </w:pPr>
      <w:rPr>
        <w:rFonts w:ascii="Symbol" w:hAnsi="Symbol" w:hint="default"/>
      </w:rPr>
    </w:lvl>
    <w:lvl w:ilvl="7" w:tplc="041A0003" w:tentative="1">
      <w:start w:val="1"/>
      <w:numFmt w:val="bullet"/>
      <w:lvlText w:val="o"/>
      <w:lvlJc w:val="left"/>
      <w:pPr>
        <w:ind w:left="6610" w:hanging="360"/>
      </w:pPr>
      <w:rPr>
        <w:rFonts w:ascii="Courier New" w:hAnsi="Courier New" w:cs="Courier New" w:hint="default"/>
      </w:rPr>
    </w:lvl>
    <w:lvl w:ilvl="8" w:tplc="041A0005" w:tentative="1">
      <w:start w:val="1"/>
      <w:numFmt w:val="bullet"/>
      <w:lvlText w:val=""/>
      <w:lvlJc w:val="left"/>
      <w:pPr>
        <w:ind w:left="7330" w:hanging="360"/>
      </w:pPr>
      <w:rPr>
        <w:rFonts w:ascii="Wingdings" w:hAnsi="Wingdings" w:hint="default"/>
      </w:rPr>
    </w:lvl>
  </w:abstractNum>
  <w:abstractNum w:abstractNumId="2" w15:restartNumberingAfterBreak="0">
    <w:nsid w:val="04C64D42"/>
    <w:multiLevelType w:val="hybridMultilevel"/>
    <w:tmpl w:val="90DE3170"/>
    <w:lvl w:ilvl="0" w:tplc="3372F132">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EA768C"/>
    <w:multiLevelType w:val="hybridMultilevel"/>
    <w:tmpl w:val="0C94FC26"/>
    <w:lvl w:ilvl="0" w:tplc="CCF450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BF29CA"/>
    <w:multiLevelType w:val="hybridMultilevel"/>
    <w:tmpl w:val="ED7C5CB4"/>
    <w:lvl w:ilvl="0" w:tplc="C330A574">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360C87"/>
    <w:multiLevelType w:val="multilevel"/>
    <w:tmpl w:val="B6902D2C"/>
    <w:lvl w:ilvl="0">
      <w:start w:val="1"/>
      <w:numFmt w:val="decimal"/>
      <w:lvlText w:val="%1."/>
      <w:lvlJc w:val="left"/>
      <w:pPr>
        <w:ind w:left="1068" w:hanging="360"/>
      </w:pPr>
      <w:rPr>
        <w:rFonts w:hint="default"/>
      </w:rPr>
    </w:lvl>
    <w:lvl w:ilvl="1">
      <w:start w:val="1"/>
      <w:numFmt w:val="decimal"/>
      <w:lvlText w:val="%1.%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EA16A0"/>
    <w:multiLevelType w:val="hybridMultilevel"/>
    <w:tmpl w:val="A16EA680"/>
    <w:lvl w:ilvl="0" w:tplc="FBDCB8F6">
      <w:start w:val="1"/>
      <w:numFmt w:val="decimal"/>
      <w:lvlText w:val="%1."/>
      <w:lvlJc w:val="left"/>
      <w:pPr>
        <w:ind w:left="1440" w:hanging="360"/>
      </w:pPr>
      <w:rPr>
        <w:rFonts w:ascii="Times New Roman" w:eastAsia="Times New Roman" w:hAnsi="Times New Roman" w:cs="Times New Roman"/>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1F220682"/>
    <w:multiLevelType w:val="hybridMultilevel"/>
    <w:tmpl w:val="A2F66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B23723"/>
    <w:multiLevelType w:val="hybridMultilevel"/>
    <w:tmpl w:val="6C707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E6507"/>
    <w:multiLevelType w:val="hybridMultilevel"/>
    <w:tmpl w:val="BFC806D4"/>
    <w:lvl w:ilvl="0" w:tplc="4C467D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A36101"/>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642F0"/>
    <w:multiLevelType w:val="hybridMultilevel"/>
    <w:tmpl w:val="85D4AA3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6B90319"/>
    <w:multiLevelType w:val="hybridMultilevel"/>
    <w:tmpl w:val="2F986292"/>
    <w:lvl w:ilvl="0" w:tplc="8B30455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A7A75D4"/>
    <w:multiLevelType w:val="hybridMultilevel"/>
    <w:tmpl w:val="30746030"/>
    <w:lvl w:ilvl="0" w:tplc="023C10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9DF287"/>
    <w:multiLevelType w:val="multilevel"/>
    <w:tmpl w:val="AEE05F3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1D549C"/>
    <w:multiLevelType w:val="hybridMultilevel"/>
    <w:tmpl w:val="446C7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C12BF"/>
    <w:multiLevelType w:val="hybridMultilevel"/>
    <w:tmpl w:val="17CEB1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F29F5"/>
    <w:multiLevelType w:val="hybridMultilevel"/>
    <w:tmpl w:val="64D494F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5A77565E"/>
    <w:multiLevelType w:val="hybridMultilevel"/>
    <w:tmpl w:val="FCEC8C0A"/>
    <w:lvl w:ilvl="0" w:tplc="ACF6D566">
      <w:start w:val="1"/>
      <w:numFmt w:val="decimal"/>
      <w:lvlText w:val="%1."/>
      <w:lvlJc w:val="left"/>
      <w:pPr>
        <w:ind w:left="106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3430C"/>
    <w:multiLevelType w:val="hybridMultilevel"/>
    <w:tmpl w:val="FCEC8C0A"/>
    <w:lvl w:ilvl="0" w:tplc="ACF6D566">
      <w:start w:val="1"/>
      <w:numFmt w:val="decimal"/>
      <w:lvlText w:val="%1."/>
      <w:lvlJc w:val="left"/>
      <w:pPr>
        <w:ind w:left="106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47360E0"/>
    <w:multiLevelType w:val="hybridMultilevel"/>
    <w:tmpl w:val="D94E0B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7C43A2"/>
    <w:multiLevelType w:val="hybridMultilevel"/>
    <w:tmpl w:val="7A64D4DA"/>
    <w:lvl w:ilvl="0" w:tplc="C6D6790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02207E4"/>
    <w:multiLevelType w:val="hybridMultilevel"/>
    <w:tmpl w:val="9A6CB8BE"/>
    <w:lvl w:ilvl="0" w:tplc="DC4E4484">
      <w:start w:val="1"/>
      <w:numFmt w:val="decimal"/>
      <w:lvlText w:val="%1."/>
      <w:lvlJc w:val="left"/>
      <w:pPr>
        <w:ind w:left="862" w:hanging="360"/>
      </w:pPr>
      <w:rPr>
        <w:rFonts w:ascii="Times New Roman" w:eastAsia="Times New Roman" w:hAnsi="Times New Roman" w:cs="Times New Roman"/>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BB3A11"/>
    <w:multiLevelType w:val="hybridMultilevel"/>
    <w:tmpl w:val="13749B8A"/>
    <w:lvl w:ilvl="0" w:tplc="5F36F8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E83086"/>
    <w:multiLevelType w:val="hybridMultilevel"/>
    <w:tmpl w:val="89FC2580"/>
    <w:lvl w:ilvl="0" w:tplc="2DA0E1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37"/>
  </w:num>
  <w:num w:numId="3">
    <w:abstractNumId w:val="10"/>
  </w:num>
  <w:num w:numId="4">
    <w:abstractNumId w:val="35"/>
  </w:num>
  <w:num w:numId="5">
    <w:abstractNumId w:val="7"/>
  </w:num>
  <w:num w:numId="6">
    <w:abstractNumId w:val="8"/>
  </w:num>
  <w:num w:numId="7">
    <w:abstractNumId w:val="30"/>
  </w:num>
  <w:num w:numId="8">
    <w:abstractNumId w:val="1"/>
  </w:num>
  <w:num w:numId="9">
    <w:abstractNumId w:val="40"/>
  </w:num>
  <w:num w:numId="10">
    <w:abstractNumId w:val="21"/>
  </w:num>
  <w:num w:numId="11">
    <w:abstractNumId w:val="27"/>
  </w:num>
  <w:num w:numId="12">
    <w:abstractNumId w:val="4"/>
  </w:num>
  <w:num w:numId="13">
    <w:abstractNumId w:val="36"/>
  </w:num>
  <w:num w:numId="14">
    <w:abstractNumId w:val="3"/>
  </w:num>
  <w:num w:numId="15">
    <w:abstractNumId w:val="20"/>
  </w:num>
  <w:num w:numId="16">
    <w:abstractNumId w:val="25"/>
  </w:num>
  <w:num w:numId="17">
    <w:abstractNumId w:val="17"/>
  </w:num>
  <w:num w:numId="18">
    <w:abstractNumId w:val="14"/>
  </w:num>
  <w:num w:numId="19">
    <w:abstractNumId w:val="16"/>
  </w:num>
  <w:num w:numId="20">
    <w:abstractNumId w:val="26"/>
  </w:num>
  <w:num w:numId="21">
    <w:abstractNumId w:val="32"/>
  </w:num>
  <w:num w:numId="22">
    <w:abstractNumId w:val="31"/>
  </w:num>
  <w:num w:numId="23">
    <w:abstractNumId w:val="29"/>
  </w:num>
  <w:num w:numId="24">
    <w:abstractNumId w:val="15"/>
  </w:num>
  <w:num w:numId="25">
    <w:abstractNumId w:val="13"/>
  </w:num>
  <w:num w:numId="26">
    <w:abstractNumId w:val="38"/>
  </w:num>
  <w:num w:numId="27">
    <w:abstractNumId w:val="0"/>
  </w:num>
  <w:num w:numId="28">
    <w:abstractNumId w:val="39"/>
  </w:num>
  <w:num w:numId="29">
    <w:abstractNumId w:val="11"/>
  </w:num>
  <w:num w:numId="30">
    <w:abstractNumId w:val="6"/>
  </w:num>
  <w:num w:numId="31">
    <w:abstractNumId w:val="5"/>
  </w:num>
  <w:num w:numId="32">
    <w:abstractNumId w:val="2"/>
  </w:num>
  <w:num w:numId="33">
    <w:abstractNumId w:val="22"/>
  </w:num>
  <w:num w:numId="34">
    <w:abstractNumId w:val="34"/>
  </w:num>
  <w:num w:numId="35">
    <w:abstractNumId w:val="18"/>
  </w:num>
  <w:num w:numId="36">
    <w:abstractNumId w:val="33"/>
  </w:num>
  <w:num w:numId="37">
    <w:abstractNumId w:val="19"/>
  </w:num>
  <w:num w:numId="38">
    <w:abstractNumId w:val="23"/>
  </w:num>
  <w:num w:numId="39">
    <w:abstractNumId w:val="12"/>
  </w:num>
  <w:num w:numId="40">
    <w:abstractNumId w:val="1"/>
  </w:num>
  <w:num w:numId="41">
    <w:abstractNumId w:val="2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6A77"/>
    <w:rsid w:val="000079CA"/>
    <w:rsid w:val="00011A5B"/>
    <w:rsid w:val="00013AE5"/>
    <w:rsid w:val="00015AED"/>
    <w:rsid w:val="00020F86"/>
    <w:rsid w:val="00021B82"/>
    <w:rsid w:val="00023380"/>
    <w:rsid w:val="00023E1D"/>
    <w:rsid w:val="00023F19"/>
    <w:rsid w:val="00026DBD"/>
    <w:rsid w:val="00032948"/>
    <w:rsid w:val="0003315A"/>
    <w:rsid w:val="00035850"/>
    <w:rsid w:val="0003694E"/>
    <w:rsid w:val="00037DCF"/>
    <w:rsid w:val="00040BC1"/>
    <w:rsid w:val="000421A3"/>
    <w:rsid w:val="0004394B"/>
    <w:rsid w:val="00045798"/>
    <w:rsid w:val="00045970"/>
    <w:rsid w:val="00055EC8"/>
    <w:rsid w:val="00062B4E"/>
    <w:rsid w:val="00063628"/>
    <w:rsid w:val="000667F8"/>
    <w:rsid w:val="00067BF5"/>
    <w:rsid w:val="00070ACE"/>
    <w:rsid w:val="000732CD"/>
    <w:rsid w:val="00076194"/>
    <w:rsid w:val="00077EFE"/>
    <w:rsid w:val="00080B05"/>
    <w:rsid w:val="00081D2C"/>
    <w:rsid w:val="00082A70"/>
    <w:rsid w:val="00083A74"/>
    <w:rsid w:val="0008637A"/>
    <w:rsid w:val="000907E7"/>
    <w:rsid w:val="000927DE"/>
    <w:rsid w:val="00095A44"/>
    <w:rsid w:val="000968AA"/>
    <w:rsid w:val="000A1481"/>
    <w:rsid w:val="000A5A95"/>
    <w:rsid w:val="000B1486"/>
    <w:rsid w:val="000B159F"/>
    <w:rsid w:val="000B3C5B"/>
    <w:rsid w:val="000B444C"/>
    <w:rsid w:val="000B7718"/>
    <w:rsid w:val="000C15CB"/>
    <w:rsid w:val="000C5AD5"/>
    <w:rsid w:val="000C7476"/>
    <w:rsid w:val="000D52D6"/>
    <w:rsid w:val="000D6DFB"/>
    <w:rsid w:val="000E05C7"/>
    <w:rsid w:val="000E1267"/>
    <w:rsid w:val="000E33E8"/>
    <w:rsid w:val="000E58A9"/>
    <w:rsid w:val="000F04F2"/>
    <w:rsid w:val="000F0F88"/>
    <w:rsid w:val="000F707A"/>
    <w:rsid w:val="000F7985"/>
    <w:rsid w:val="001001D1"/>
    <w:rsid w:val="00101C0F"/>
    <w:rsid w:val="0010214D"/>
    <w:rsid w:val="00102E17"/>
    <w:rsid w:val="001037E9"/>
    <w:rsid w:val="00104634"/>
    <w:rsid w:val="00110458"/>
    <w:rsid w:val="00111303"/>
    <w:rsid w:val="00112899"/>
    <w:rsid w:val="0011344E"/>
    <w:rsid w:val="00113EBA"/>
    <w:rsid w:val="00114886"/>
    <w:rsid w:val="0011558D"/>
    <w:rsid w:val="00126A31"/>
    <w:rsid w:val="00130FC0"/>
    <w:rsid w:val="001310A0"/>
    <w:rsid w:val="00131B25"/>
    <w:rsid w:val="0013321B"/>
    <w:rsid w:val="0013325F"/>
    <w:rsid w:val="00134697"/>
    <w:rsid w:val="00134974"/>
    <w:rsid w:val="00134C52"/>
    <w:rsid w:val="00136BCE"/>
    <w:rsid w:val="00137315"/>
    <w:rsid w:val="001426CC"/>
    <w:rsid w:val="00145BE5"/>
    <w:rsid w:val="00145F9C"/>
    <w:rsid w:val="00153BD8"/>
    <w:rsid w:val="00155799"/>
    <w:rsid w:val="00165763"/>
    <w:rsid w:val="00165929"/>
    <w:rsid w:val="00167072"/>
    <w:rsid w:val="00170E8C"/>
    <w:rsid w:val="00172253"/>
    <w:rsid w:val="0017650D"/>
    <w:rsid w:val="00184D61"/>
    <w:rsid w:val="00190034"/>
    <w:rsid w:val="00194357"/>
    <w:rsid w:val="00197C91"/>
    <w:rsid w:val="001A0054"/>
    <w:rsid w:val="001A283C"/>
    <w:rsid w:val="001A34B3"/>
    <w:rsid w:val="001A5B8A"/>
    <w:rsid w:val="001A7EF3"/>
    <w:rsid w:val="001B097E"/>
    <w:rsid w:val="001B0EA9"/>
    <w:rsid w:val="001B0F7A"/>
    <w:rsid w:val="001B3D2E"/>
    <w:rsid w:val="001B3ED8"/>
    <w:rsid w:val="001B463C"/>
    <w:rsid w:val="001C18D3"/>
    <w:rsid w:val="001C4502"/>
    <w:rsid w:val="001C6323"/>
    <w:rsid w:val="001D665C"/>
    <w:rsid w:val="001D6DEE"/>
    <w:rsid w:val="001D733E"/>
    <w:rsid w:val="001D7F07"/>
    <w:rsid w:val="001E3E29"/>
    <w:rsid w:val="001E6FB4"/>
    <w:rsid w:val="001F245F"/>
    <w:rsid w:val="001F5812"/>
    <w:rsid w:val="00201A55"/>
    <w:rsid w:val="00203D2E"/>
    <w:rsid w:val="0020458D"/>
    <w:rsid w:val="00205D27"/>
    <w:rsid w:val="002064B3"/>
    <w:rsid w:val="00206DC5"/>
    <w:rsid w:val="00220BF7"/>
    <w:rsid w:val="00223481"/>
    <w:rsid w:val="0022396C"/>
    <w:rsid w:val="00225A8A"/>
    <w:rsid w:val="00227D81"/>
    <w:rsid w:val="00230C39"/>
    <w:rsid w:val="002316A8"/>
    <w:rsid w:val="00233F3E"/>
    <w:rsid w:val="00236B00"/>
    <w:rsid w:val="00237464"/>
    <w:rsid w:val="0024466E"/>
    <w:rsid w:val="002525DA"/>
    <w:rsid w:val="0025502B"/>
    <w:rsid w:val="0025718F"/>
    <w:rsid w:val="002579AE"/>
    <w:rsid w:val="002617E3"/>
    <w:rsid w:val="0026307B"/>
    <w:rsid w:val="002639E0"/>
    <w:rsid w:val="002644FD"/>
    <w:rsid w:val="00265069"/>
    <w:rsid w:val="00270CB2"/>
    <w:rsid w:val="00270EBA"/>
    <w:rsid w:val="002743C7"/>
    <w:rsid w:val="00274910"/>
    <w:rsid w:val="00284EB9"/>
    <w:rsid w:val="00286CFC"/>
    <w:rsid w:val="002879F3"/>
    <w:rsid w:val="00294532"/>
    <w:rsid w:val="0029653A"/>
    <w:rsid w:val="002965E2"/>
    <w:rsid w:val="002A6C8A"/>
    <w:rsid w:val="002B1169"/>
    <w:rsid w:val="002B1648"/>
    <w:rsid w:val="002B23AC"/>
    <w:rsid w:val="002B2FC3"/>
    <w:rsid w:val="002B3609"/>
    <w:rsid w:val="002B561F"/>
    <w:rsid w:val="002B7C75"/>
    <w:rsid w:val="002C08F9"/>
    <w:rsid w:val="002C1C82"/>
    <w:rsid w:val="002C38FD"/>
    <w:rsid w:val="002C3FB0"/>
    <w:rsid w:val="002C458C"/>
    <w:rsid w:val="002C54A9"/>
    <w:rsid w:val="002C7121"/>
    <w:rsid w:val="002C788C"/>
    <w:rsid w:val="002D1464"/>
    <w:rsid w:val="002D1CD4"/>
    <w:rsid w:val="002D444E"/>
    <w:rsid w:val="002D494D"/>
    <w:rsid w:val="002D5F10"/>
    <w:rsid w:val="002E38D5"/>
    <w:rsid w:val="002E4790"/>
    <w:rsid w:val="002E48E5"/>
    <w:rsid w:val="002E7831"/>
    <w:rsid w:val="002F0495"/>
    <w:rsid w:val="002F307B"/>
    <w:rsid w:val="002F377B"/>
    <w:rsid w:val="002F7F1F"/>
    <w:rsid w:val="00302244"/>
    <w:rsid w:val="00306900"/>
    <w:rsid w:val="00306CF0"/>
    <w:rsid w:val="00317967"/>
    <w:rsid w:val="003231E9"/>
    <w:rsid w:val="00323631"/>
    <w:rsid w:val="003237CF"/>
    <w:rsid w:val="003239CD"/>
    <w:rsid w:val="00324025"/>
    <w:rsid w:val="00324189"/>
    <w:rsid w:val="003254DA"/>
    <w:rsid w:val="00325B8F"/>
    <w:rsid w:val="003306AF"/>
    <w:rsid w:val="0033325F"/>
    <w:rsid w:val="0033332B"/>
    <w:rsid w:val="00334BAE"/>
    <w:rsid w:val="0033609E"/>
    <w:rsid w:val="003441B4"/>
    <w:rsid w:val="003444DD"/>
    <w:rsid w:val="0034514F"/>
    <w:rsid w:val="0036134E"/>
    <w:rsid w:val="00362C9B"/>
    <w:rsid w:val="00363409"/>
    <w:rsid w:val="00363C8A"/>
    <w:rsid w:val="00363F3D"/>
    <w:rsid w:val="003650CD"/>
    <w:rsid w:val="00367C03"/>
    <w:rsid w:val="00370306"/>
    <w:rsid w:val="003703FE"/>
    <w:rsid w:val="0037221D"/>
    <w:rsid w:val="00374F27"/>
    <w:rsid w:val="0037720D"/>
    <w:rsid w:val="003802DC"/>
    <w:rsid w:val="00380EC0"/>
    <w:rsid w:val="003817CC"/>
    <w:rsid w:val="00381D23"/>
    <w:rsid w:val="00384CAE"/>
    <w:rsid w:val="00391076"/>
    <w:rsid w:val="003A4BB6"/>
    <w:rsid w:val="003A5DF3"/>
    <w:rsid w:val="003A77CD"/>
    <w:rsid w:val="003B1606"/>
    <w:rsid w:val="003B29E8"/>
    <w:rsid w:val="003B2CF0"/>
    <w:rsid w:val="003B4E58"/>
    <w:rsid w:val="003B66A5"/>
    <w:rsid w:val="003B674B"/>
    <w:rsid w:val="003B7440"/>
    <w:rsid w:val="003C418E"/>
    <w:rsid w:val="003C4407"/>
    <w:rsid w:val="003C4581"/>
    <w:rsid w:val="003C716D"/>
    <w:rsid w:val="003C719B"/>
    <w:rsid w:val="003D0479"/>
    <w:rsid w:val="003D11D1"/>
    <w:rsid w:val="003D16C7"/>
    <w:rsid w:val="003D21D7"/>
    <w:rsid w:val="003D2B58"/>
    <w:rsid w:val="003D5FC9"/>
    <w:rsid w:val="003D66F0"/>
    <w:rsid w:val="003D6907"/>
    <w:rsid w:val="003D7FBD"/>
    <w:rsid w:val="003E05B0"/>
    <w:rsid w:val="003E2361"/>
    <w:rsid w:val="003E3FF1"/>
    <w:rsid w:val="003E548B"/>
    <w:rsid w:val="003E6312"/>
    <w:rsid w:val="003F1D1F"/>
    <w:rsid w:val="003F2B54"/>
    <w:rsid w:val="003F2DDC"/>
    <w:rsid w:val="003F64F4"/>
    <w:rsid w:val="003F7BC0"/>
    <w:rsid w:val="004012B8"/>
    <w:rsid w:val="0041209B"/>
    <w:rsid w:val="00414045"/>
    <w:rsid w:val="00415A48"/>
    <w:rsid w:val="004220E6"/>
    <w:rsid w:val="004253F4"/>
    <w:rsid w:val="00426B2A"/>
    <w:rsid w:val="004308F8"/>
    <w:rsid w:val="0043208D"/>
    <w:rsid w:val="00432F80"/>
    <w:rsid w:val="00436764"/>
    <w:rsid w:val="004369A8"/>
    <w:rsid w:val="00440047"/>
    <w:rsid w:val="004426CF"/>
    <w:rsid w:val="00445616"/>
    <w:rsid w:val="0044697F"/>
    <w:rsid w:val="0045015F"/>
    <w:rsid w:val="004532FF"/>
    <w:rsid w:val="00455B7C"/>
    <w:rsid w:val="004562C9"/>
    <w:rsid w:val="00457A4D"/>
    <w:rsid w:val="00461989"/>
    <w:rsid w:val="00471DFB"/>
    <w:rsid w:val="00471FDB"/>
    <w:rsid w:val="0047264F"/>
    <w:rsid w:val="00472F94"/>
    <w:rsid w:val="00476487"/>
    <w:rsid w:val="0047648B"/>
    <w:rsid w:val="004773B2"/>
    <w:rsid w:val="00480654"/>
    <w:rsid w:val="00482C87"/>
    <w:rsid w:val="004830EC"/>
    <w:rsid w:val="00483207"/>
    <w:rsid w:val="004875EC"/>
    <w:rsid w:val="00490782"/>
    <w:rsid w:val="00491BDE"/>
    <w:rsid w:val="00493364"/>
    <w:rsid w:val="00493D6B"/>
    <w:rsid w:val="00496A0A"/>
    <w:rsid w:val="004A07A4"/>
    <w:rsid w:val="004A3BDD"/>
    <w:rsid w:val="004A4AFB"/>
    <w:rsid w:val="004B4BF1"/>
    <w:rsid w:val="004C0211"/>
    <w:rsid w:val="004C08EC"/>
    <w:rsid w:val="004C3A59"/>
    <w:rsid w:val="004C58C6"/>
    <w:rsid w:val="004C714C"/>
    <w:rsid w:val="004D75AF"/>
    <w:rsid w:val="004E02C5"/>
    <w:rsid w:val="004E3B44"/>
    <w:rsid w:val="004E45E7"/>
    <w:rsid w:val="004E556B"/>
    <w:rsid w:val="004E6B4C"/>
    <w:rsid w:val="004F0E85"/>
    <w:rsid w:val="004F5316"/>
    <w:rsid w:val="005010EF"/>
    <w:rsid w:val="00504EB3"/>
    <w:rsid w:val="00505500"/>
    <w:rsid w:val="00510E14"/>
    <w:rsid w:val="00512EEC"/>
    <w:rsid w:val="00513E28"/>
    <w:rsid w:val="00516E07"/>
    <w:rsid w:val="00517636"/>
    <w:rsid w:val="0052216A"/>
    <w:rsid w:val="00522C0F"/>
    <w:rsid w:val="00524C6A"/>
    <w:rsid w:val="00526F2B"/>
    <w:rsid w:val="00527F9F"/>
    <w:rsid w:val="00530711"/>
    <w:rsid w:val="00530CEF"/>
    <w:rsid w:val="00531451"/>
    <w:rsid w:val="00534DA0"/>
    <w:rsid w:val="00543261"/>
    <w:rsid w:val="00545E7B"/>
    <w:rsid w:val="00547116"/>
    <w:rsid w:val="00547DD2"/>
    <w:rsid w:val="00550D48"/>
    <w:rsid w:val="00552799"/>
    <w:rsid w:val="005660A4"/>
    <w:rsid w:val="00567BA7"/>
    <w:rsid w:val="00572B63"/>
    <w:rsid w:val="00573D14"/>
    <w:rsid w:val="00575710"/>
    <w:rsid w:val="00580A3E"/>
    <w:rsid w:val="00583439"/>
    <w:rsid w:val="00585281"/>
    <w:rsid w:val="00585D1E"/>
    <w:rsid w:val="00586E4D"/>
    <w:rsid w:val="00590BEB"/>
    <w:rsid w:val="00594DBB"/>
    <w:rsid w:val="0059560F"/>
    <w:rsid w:val="005961B5"/>
    <w:rsid w:val="00597171"/>
    <w:rsid w:val="005A063C"/>
    <w:rsid w:val="005A25E7"/>
    <w:rsid w:val="005A31D2"/>
    <w:rsid w:val="005A50C3"/>
    <w:rsid w:val="005A545C"/>
    <w:rsid w:val="005A65B9"/>
    <w:rsid w:val="005A74D8"/>
    <w:rsid w:val="005A7C1C"/>
    <w:rsid w:val="005B0F4D"/>
    <w:rsid w:val="005B27BE"/>
    <w:rsid w:val="005B3081"/>
    <w:rsid w:val="005B3AFF"/>
    <w:rsid w:val="005B425F"/>
    <w:rsid w:val="005B4D5B"/>
    <w:rsid w:val="005B72F1"/>
    <w:rsid w:val="005C1A30"/>
    <w:rsid w:val="005C29FD"/>
    <w:rsid w:val="005C2CA8"/>
    <w:rsid w:val="005C4D81"/>
    <w:rsid w:val="005C5A62"/>
    <w:rsid w:val="005C6744"/>
    <w:rsid w:val="005D0F57"/>
    <w:rsid w:val="005E132B"/>
    <w:rsid w:val="005E1560"/>
    <w:rsid w:val="005E1961"/>
    <w:rsid w:val="005E4AE4"/>
    <w:rsid w:val="005E5DD9"/>
    <w:rsid w:val="005E6901"/>
    <w:rsid w:val="005F3B3D"/>
    <w:rsid w:val="005F42EA"/>
    <w:rsid w:val="005F6650"/>
    <w:rsid w:val="006001F4"/>
    <w:rsid w:val="00600BA7"/>
    <w:rsid w:val="00607010"/>
    <w:rsid w:val="0061302E"/>
    <w:rsid w:val="00613F72"/>
    <w:rsid w:val="0061564F"/>
    <w:rsid w:val="00621AB4"/>
    <w:rsid w:val="006223AC"/>
    <w:rsid w:val="0062439C"/>
    <w:rsid w:val="006277F1"/>
    <w:rsid w:val="00630045"/>
    <w:rsid w:val="00633F08"/>
    <w:rsid w:val="00634617"/>
    <w:rsid w:val="00634709"/>
    <w:rsid w:val="00634750"/>
    <w:rsid w:val="00635B39"/>
    <w:rsid w:val="00635D7F"/>
    <w:rsid w:val="00641DA6"/>
    <w:rsid w:val="00645328"/>
    <w:rsid w:val="006456B1"/>
    <w:rsid w:val="00645872"/>
    <w:rsid w:val="0064623E"/>
    <w:rsid w:val="00647EF0"/>
    <w:rsid w:val="006511DC"/>
    <w:rsid w:val="006521CA"/>
    <w:rsid w:val="00653415"/>
    <w:rsid w:val="00656A91"/>
    <w:rsid w:val="00656AD7"/>
    <w:rsid w:val="00660FBE"/>
    <w:rsid w:val="006624E8"/>
    <w:rsid w:val="00662789"/>
    <w:rsid w:val="0066336E"/>
    <w:rsid w:val="006638D2"/>
    <w:rsid w:val="00665624"/>
    <w:rsid w:val="00666240"/>
    <w:rsid w:val="00667940"/>
    <w:rsid w:val="00674DDE"/>
    <w:rsid w:val="006752BD"/>
    <w:rsid w:val="00675A84"/>
    <w:rsid w:val="0067608F"/>
    <w:rsid w:val="00685BFA"/>
    <w:rsid w:val="006915E6"/>
    <w:rsid w:val="00692442"/>
    <w:rsid w:val="00692448"/>
    <w:rsid w:val="0069347D"/>
    <w:rsid w:val="0069359C"/>
    <w:rsid w:val="00695316"/>
    <w:rsid w:val="006A22D2"/>
    <w:rsid w:val="006A7592"/>
    <w:rsid w:val="006B6358"/>
    <w:rsid w:val="006C3D72"/>
    <w:rsid w:val="006C4A4F"/>
    <w:rsid w:val="006C6983"/>
    <w:rsid w:val="006D32C4"/>
    <w:rsid w:val="006D362B"/>
    <w:rsid w:val="006D487E"/>
    <w:rsid w:val="006D4A5C"/>
    <w:rsid w:val="006D63AA"/>
    <w:rsid w:val="006D64D7"/>
    <w:rsid w:val="006E0C05"/>
    <w:rsid w:val="006E0C0D"/>
    <w:rsid w:val="006E37EB"/>
    <w:rsid w:val="006E3B7F"/>
    <w:rsid w:val="006E6D1A"/>
    <w:rsid w:val="006E7D38"/>
    <w:rsid w:val="006F13C0"/>
    <w:rsid w:val="006F260C"/>
    <w:rsid w:val="007003D7"/>
    <w:rsid w:val="00703212"/>
    <w:rsid w:val="00703D0F"/>
    <w:rsid w:val="0070462F"/>
    <w:rsid w:val="007055BC"/>
    <w:rsid w:val="00706120"/>
    <w:rsid w:val="00711375"/>
    <w:rsid w:val="007126AE"/>
    <w:rsid w:val="007151C7"/>
    <w:rsid w:val="0071657B"/>
    <w:rsid w:val="00717385"/>
    <w:rsid w:val="007239D0"/>
    <w:rsid w:val="00725E00"/>
    <w:rsid w:val="007260DD"/>
    <w:rsid w:val="00726346"/>
    <w:rsid w:val="007351E3"/>
    <w:rsid w:val="007356D5"/>
    <w:rsid w:val="007369ED"/>
    <w:rsid w:val="007403B2"/>
    <w:rsid w:val="00746C8B"/>
    <w:rsid w:val="0075069B"/>
    <w:rsid w:val="00752C36"/>
    <w:rsid w:val="00753837"/>
    <w:rsid w:val="00753F41"/>
    <w:rsid w:val="00756DFC"/>
    <w:rsid w:val="0076400A"/>
    <w:rsid w:val="007703A8"/>
    <w:rsid w:val="00773D13"/>
    <w:rsid w:val="00776390"/>
    <w:rsid w:val="007769E7"/>
    <w:rsid w:val="0078369E"/>
    <w:rsid w:val="0079091F"/>
    <w:rsid w:val="00792F27"/>
    <w:rsid w:val="007938AE"/>
    <w:rsid w:val="00795BA0"/>
    <w:rsid w:val="0079703C"/>
    <w:rsid w:val="007A036F"/>
    <w:rsid w:val="007A15BA"/>
    <w:rsid w:val="007A3E1E"/>
    <w:rsid w:val="007A52B3"/>
    <w:rsid w:val="007B2045"/>
    <w:rsid w:val="007B32A9"/>
    <w:rsid w:val="007B406F"/>
    <w:rsid w:val="007C7780"/>
    <w:rsid w:val="007D1822"/>
    <w:rsid w:val="007D7A3B"/>
    <w:rsid w:val="007D7BDE"/>
    <w:rsid w:val="007E33B2"/>
    <w:rsid w:val="007E54AC"/>
    <w:rsid w:val="007F1294"/>
    <w:rsid w:val="007F2DA1"/>
    <w:rsid w:val="00801996"/>
    <w:rsid w:val="00810045"/>
    <w:rsid w:val="0081052D"/>
    <w:rsid w:val="00812B7F"/>
    <w:rsid w:val="00813ECF"/>
    <w:rsid w:val="008202C4"/>
    <w:rsid w:val="00821005"/>
    <w:rsid w:val="008223B8"/>
    <w:rsid w:val="00822A07"/>
    <w:rsid w:val="00823318"/>
    <w:rsid w:val="00831925"/>
    <w:rsid w:val="00833C3B"/>
    <w:rsid w:val="00835EA5"/>
    <w:rsid w:val="00837A3E"/>
    <w:rsid w:val="0084357B"/>
    <w:rsid w:val="00846E65"/>
    <w:rsid w:val="008572C1"/>
    <w:rsid w:val="00860859"/>
    <w:rsid w:val="00860A6E"/>
    <w:rsid w:val="00861CCD"/>
    <w:rsid w:val="00866394"/>
    <w:rsid w:val="00870694"/>
    <w:rsid w:val="008722E8"/>
    <w:rsid w:val="008726CD"/>
    <w:rsid w:val="00873440"/>
    <w:rsid w:val="008750BD"/>
    <w:rsid w:val="00881DC7"/>
    <w:rsid w:val="00881F79"/>
    <w:rsid w:val="00882E6E"/>
    <w:rsid w:val="00883126"/>
    <w:rsid w:val="008833EF"/>
    <w:rsid w:val="00884070"/>
    <w:rsid w:val="00887848"/>
    <w:rsid w:val="00887868"/>
    <w:rsid w:val="00887925"/>
    <w:rsid w:val="00890000"/>
    <w:rsid w:val="00891C15"/>
    <w:rsid w:val="008928D0"/>
    <w:rsid w:val="00892AC2"/>
    <w:rsid w:val="00893015"/>
    <w:rsid w:val="008931F1"/>
    <w:rsid w:val="008A0ABD"/>
    <w:rsid w:val="008A25E4"/>
    <w:rsid w:val="008A3158"/>
    <w:rsid w:val="008B08D6"/>
    <w:rsid w:val="008B246E"/>
    <w:rsid w:val="008B3C76"/>
    <w:rsid w:val="008B5991"/>
    <w:rsid w:val="008C0A54"/>
    <w:rsid w:val="008C12C7"/>
    <w:rsid w:val="008C2ECA"/>
    <w:rsid w:val="008C3429"/>
    <w:rsid w:val="008C6DA3"/>
    <w:rsid w:val="008C7ADA"/>
    <w:rsid w:val="008C7D5B"/>
    <w:rsid w:val="008D1603"/>
    <w:rsid w:val="008D2B38"/>
    <w:rsid w:val="008D38B2"/>
    <w:rsid w:val="008D4509"/>
    <w:rsid w:val="008D649E"/>
    <w:rsid w:val="008E74E3"/>
    <w:rsid w:val="008F14F0"/>
    <w:rsid w:val="008F23F5"/>
    <w:rsid w:val="008F254B"/>
    <w:rsid w:val="008F764A"/>
    <w:rsid w:val="008F7A68"/>
    <w:rsid w:val="009028DA"/>
    <w:rsid w:val="00905EB4"/>
    <w:rsid w:val="009119D3"/>
    <w:rsid w:val="00913B68"/>
    <w:rsid w:val="0091452F"/>
    <w:rsid w:val="00917A3A"/>
    <w:rsid w:val="009203D1"/>
    <w:rsid w:val="00921BDD"/>
    <w:rsid w:val="00923475"/>
    <w:rsid w:val="00930ADA"/>
    <w:rsid w:val="00932A24"/>
    <w:rsid w:val="00935DD1"/>
    <w:rsid w:val="00942FD1"/>
    <w:rsid w:val="00944C25"/>
    <w:rsid w:val="0094546E"/>
    <w:rsid w:val="00945C6B"/>
    <w:rsid w:val="009520AC"/>
    <w:rsid w:val="009525A9"/>
    <w:rsid w:val="00952EED"/>
    <w:rsid w:val="00953B20"/>
    <w:rsid w:val="0095434E"/>
    <w:rsid w:val="00954371"/>
    <w:rsid w:val="0095594E"/>
    <w:rsid w:val="00960F22"/>
    <w:rsid w:val="00961BC0"/>
    <w:rsid w:val="00966EB8"/>
    <w:rsid w:val="00967418"/>
    <w:rsid w:val="00967C08"/>
    <w:rsid w:val="0097055A"/>
    <w:rsid w:val="00977373"/>
    <w:rsid w:val="009835FD"/>
    <w:rsid w:val="00984FB6"/>
    <w:rsid w:val="0098512B"/>
    <w:rsid w:val="00994478"/>
    <w:rsid w:val="0099769A"/>
    <w:rsid w:val="009A009A"/>
    <w:rsid w:val="009A16EF"/>
    <w:rsid w:val="009A18D0"/>
    <w:rsid w:val="009A1F94"/>
    <w:rsid w:val="009A331F"/>
    <w:rsid w:val="009A3CD7"/>
    <w:rsid w:val="009A48D7"/>
    <w:rsid w:val="009A65A8"/>
    <w:rsid w:val="009A674D"/>
    <w:rsid w:val="009B4B68"/>
    <w:rsid w:val="009B66DF"/>
    <w:rsid w:val="009B684C"/>
    <w:rsid w:val="009C4DD8"/>
    <w:rsid w:val="009C67A3"/>
    <w:rsid w:val="009C7912"/>
    <w:rsid w:val="009D1474"/>
    <w:rsid w:val="009D1DF0"/>
    <w:rsid w:val="009D32B3"/>
    <w:rsid w:val="009D5204"/>
    <w:rsid w:val="009D6D16"/>
    <w:rsid w:val="009E1A7C"/>
    <w:rsid w:val="009E1D1B"/>
    <w:rsid w:val="009E2203"/>
    <w:rsid w:val="009E3C69"/>
    <w:rsid w:val="009E5D43"/>
    <w:rsid w:val="009F3FB7"/>
    <w:rsid w:val="009F43C2"/>
    <w:rsid w:val="009F62BB"/>
    <w:rsid w:val="009F7B6A"/>
    <w:rsid w:val="00A1218E"/>
    <w:rsid w:val="00A12D7F"/>
    <w:rsid w:val="00A13C34"/>
    <w:rsid w:val="00A170E2"/>
    <w:rsid w:val="00A2500A"/>
    <w:rsid w:val="00A25767"/>
    <w:rsid w:val="00A265E4"/>
    <w:rsid w:val="00A26F4A"/>
    <w:rsid w:val="00A31918"/>
    <w:rsid w:val="00A40767"/>
    <w:rsid w:val="00A447D2"/>
    <w:rsid w:val="00A4485A"/>
    <w:rsid w:val="00A45D8E"/>
    <w:rsid w:val="00A550BD"/>
    <w:rsid w:val="00A57D93"/>
    <w:rsid w:val="00A61C30"/>
    <w:rsid w:val="00A61E6C"/>
    <w:rsid w:val="00A62391"/>
    <w:rsid w:val="00A64437"/>
    <w:rsid w:val="00A655CE"/>
    <w:rsid w:val="00A655D1"/>
    <w:rsid w:val="00A65A62"/>
    <w:rsid w:val="00A6677E"/>
    <w:rsid w:val="00A72C7A"/>
    <w:rsid w:val="00A73B76"/>
    <w:rsid w:val="00A76021"/>
    <w:rsid w:val="00A835AE"/>
    <w:rsid w:val="00A83F23"/>
    <w:rsid w:val="00A841A1"/>
    <w:rsid w:val="00A87350"/>
    <w:rsid w:val="00A91930"/>
    <w:rsid w:val="00A92E30"/>
    <w:rsid w:val="00A93D2E"/>
    <w:rsid w:val="00A95AC4"/>
    <w:rsid w:val="00A96DF2"/>
    <w:rsid w:val="00AA2648"/>
    <w:rsid w:val="00AA43D1"/>
    <w:rsid w:val="00AA5BD3"/>
    <w:rsid w:val="00AA6BCF"/>
    <w:rsid w:val="00AB4463"/>
    <w:rsid w:val="00AB4980"/>
    <w:rsid w:val="00AB7E04"/>
    <w:rsid w:val="00AC58DA"/>
    <w:rsid w:val="00AC641F"/>
    <w:rsid w:val="00AC79D3"/>
    <w:rsid w:val="00AD3A33"/>
    <w:rsid w:val="00AD4FC0"/>
    <w:rsid w:val="00AD6A76"/>
    <w:rsid w:val="00AD72E6"/>
    <w:rsid w:val="00AE6AAC"/>
    <w:rsid w:val="00AE6C12"/>
    <w:rsid w:val="00AF0937"/>
    <w:rsid w:val="00AF2D7C"/>
    <w:rsid w:val="00AF3C39"/>
    <w:rsid w:val="00AF4A6F"/>
    <w:rsid w:val="00B01E6E"/>
    <w:rsid w:val="00B030A6"/>
    <w:rsid w:val="00B10325"/>
    <w:rsid w:val="00B1099B"/>
    <w:rsid w:val="00B14B59"/>
    <w:rsid w:val="00B24087"/>
    <w:rsid w:val="00B256DB"/>
    <w:rsid w:val="00B3069B"/>
    <w:rsid w:val="00B31535"/>
    <w:rsid w:val="00B3292A"/>
    <w:rsid w:val="00B32C98"/>
    <w:rsid w:val="00B33C65"/>
    <w:rsid w:val="00B43445"/>
    <w:rsid w:val="00B4413C"/>
    <w:rsid w:val="00B453A8"/>
    <w:rsid w:val="00B51FF5"/>
    <w:rsid w:val="00B5413F"/>
    <w:rsid w:val="00B60C82"/>
    <w:rsid w:val="00B71DFF"/>
    <w:rsid w:val="00B74DCA"/>
    <w:rsid w:val="00B7598C"/>
    <w:rsid w:val="00B77A7D"/>
    <w:rsid w:val="00B77F75"/>
    <w:rsid w:val="00B85ECF"/>
    <w:rsid w:val="00B86BE5"/>
    <w:rsid w:val="00B949FD"/>
    <w:rsid w:val="00B95504"/>
    <w:rsid w:val="00BA02FD"/>
    <w:rsid w:val="00BA2AA4"/>
    <w:rsid w:val="00BA4AD5"/>
    <w:rsid w:val="00BA5957"/>
    <w:rsid w:val="00BB3706"/>
    <w:rsid w:val="00BB3E70"/>
    <w:rsid w:val="00BB47B9"/>
    <w:rsid w:val="00BC2AF2"/>
    <w:rsid w:val="00BC3BCB"/>
    <w:rsid w:val="00BC56DD"/>
    <w:rsid w:val="00BC6F9A"/>
    <w:rsid w:val="00BD2F5E"/>
    <w:rsid w:val="00BD4DEB"/>
    <w:rsid w:val="00BD50FF"/>
    <w:rsid w:val="00BD7FDD"/>
    <w:rsid w:val="00BE2C27"/>
    <w:rsid w:val="00BE741E"/>
    <w:rsid w:val="00BF0FE6"/>
    <w:rsid w:val="00BF1040"/>
    <w:rsid w:val="00BF2021"/>
    <w:rsid w:val="00BF2A71"/>
    <w:rsid w:val="00BF4CE7"/>
    <w:rsid w:val="00BF50B1"/>
    <w:rsid w:val="00C0168C"/>
    <w:rsid w:val="00C01B16"/>
    <w:rsid w:val="00C05F56"/>
    <w:rsid w:val="00C07DD8"/>
    <w:rsid w:val="00C151F1"/>
    <w:rsid w:val="00C15C1B"/>
    <w:rsid w:val="00C2053E"/>
    <w:rsid w:val="00C238BD"/>
    <w:rsid w:val="00C254B9"/>
    <w:rsid w:val="00C3058C"/>
    <w:rsid w:val="00C3090B"/>
    <w:rsid w:val="00C311C4"/>
    <w:rsid w:val="00C349E1"/>
    <w:rsid w:val="00C35DF3"/>
    <w:rsid w:val="00C36BDF"/>
    <w:rsid w:val="00C40BC1"/>
    <w:rsid w:val="00C41FE8"/>
    <w:rsid w:val="00C45EDA"/>
    <w:rsid w:val="00C51C46"/>
    <w:rsid w:val="00C51F56"/>
    <w:rsid w:val="00C52681"/>
    <w:rsid w:val="00C53D67"/>
    <w:rsid w:val="00C54B88"/>
    <w:rsid w:val="00C56C95"/>
    <w:rsid w:val="00C5707F"/>
    <w:rsid w:val="00C61AE0"/>
    <w:rsid w:val="00C63A1E"/>
    <w:rsid w:val="00C64880"/>
    <w:rsid w:val="00C72A42"/>
    <w:rsid w:val="00C73478"/>
    <w:rsid w:val="00C82588"/>
    <w:rsid w:val="00C83BD7"/>
    <w:rsid w:val="00C84559"/>
    <w:rsid w:val="00C878B8"/>
    <w:rsid w:val="00C87C54"/>
    <w:rsid w:val="00C9044B"/>
    <w:rsid w:val="00C928AE"/>
    <w:rsid w:val="00C92CD8"/>
    <w:rsid w:val="00C93387"/>
    <w:rsid w:val="00C96234"/>
    <w:rsid w:val="00C97A9D"/>
    <w:rsid w:val="00CA0CF0"/>
    <w:rsid w:val="00CA1CFF"/>
    <w:rsid w:val="00CA6409"/>
    <w:rsid w:val="00CB251E"/>
    <w:rsid w:val="00CB3DDE"/>
    <w:rsid w:val="00CB61AD"/>
    <w:rsid w:val="00CB764D"/>
    <w:rsid w:val="00CC2493"/>
    <w:rsid w:val="00CC27BE"/>
    <w:rsid w:val="00CC4C52"/>
    <w:rsid w:val="00CC59C9"/>
    <w:rsid w:val="00CC5E8A"/>
    <w:rsid w:val="00CD3809"/>
    <w:rsid w:val="00CD497E"/>
    <w:rsid w:val="00CE42AE"/>
    <w:rsid w:val="00CE4D61"/>
    <w:rsid w:val="00CE5373"/>
    <w:rsid w:val="00CE754C"/>
    <w:rsid w:val="00CE7622"/>
    <w:rsid w:val="00CF03A1"/>
    <w:rsid w:val="00CF119A"/>
    <w:rsid w:val="00CF5FBD"/>
    <w:rsid w:val="00CF6BF8"/>
    <w:rsid w:val="00D00B54"/>
    <w:rsid w:val="00D03AA8"/>
    <w:rsid w:val="00D04B44"/>
    <w:rsid w:val="00D111E7"/>
    <w:rsid w:val="00D2178A"/>
    <w:rsid w:val="00D22624"/>
    <w:rsid w:val="00D25141"/>
    <w:rsid w:val="00D27EE4"/>
    <w:rsid w:val="00D32AAB"/>
    <w:rsid w:val="00D32C27"/>
    <w:rsid w:val="00D401DD"/>
    <w:rsid w:val="00D40734"/>
    <w:rsid w:val="00D425F1"/>
    <w:rsid w:val="00D42AF8"/>
    <w:rsid w:val="00D43D62"/>
    <w:rsid w:val="00D56694"/>
    <w:rsid w:val="00D60643"/>
    <w:rsid w:val="00D6666C"/>
    <w:rsid w:val="00D67FF5"/>
    <w:rsid w:val="00D7241E"/>
    <w:rsid w:val="00D728BC"/>
    <w:rsid w:val="00D82C7B"/>
    <w:rsid w:val="00D82E72"/>
    <w:rsid w:val="00D84711"/>
    <w:rsid w:val="00D90DA7"/>
    <w:rsid w:val="00DA1011"/>
    <w:rsid w:val="00DA3460"/>
    <w:rsid w:val="00DA3968"/>
    <w:rsid w:val="00DA40BC"/>
    <w:rsid w:val="00DA4DE1"/>
    <w:rsid w:val="00DA54BD"/>
    <w:rsid w:val="00DA719A"/>
    <w:rsid w:val="00DA7AFE"/>
    <w:rsid w:val="00DB18DD"/>
    <w:rsid w:val="00DB1D43"/>
    <w:rsid w:val="00DB6005"/>
    <w:rsid w:val="00DB7043"/>
    <w:rsid w:val="00DC00A6"/>
    <w:rsid w:val="00DC2E04"/>
    <w:rsid w:val="00DC4DEA"/>
    <w:rsid w:val="00DD08D3"/>
    <w:rsid w:val="00DD1ECF"/>
    <w:rsid w:val="00DD2F24"/>
    <w:rsid w:val="00DD777E"/>
    <w:rsid w:val="00DE5DBA"/>
    <w:rsid w:val="00DE7BDE"/>
    <w:rsid w:val="00DE7EE5"/>
    <w:rsid w:val="00DF056E"/>
    <w:rsid w:val="00DF6C79"/>
    <w:rsid w:val="00DF6D97"/>
    <w:rsid w:val="00E021A0"/>
    <w:rsid w:val="00E0459C"/>
    <w:rsid w:val="00E04946"/>
    <w:rsid w:val="00E07BD0"/>
    <w:rsid w:val="00E101B1"/>
    <w:rsid w:val="00E10E9D"/>
    <w:rsid w:val="00E14FCC"/>
    <w:rsid w:val="00E246CF"/>
    <w:rsid w:val="00E24EC5"/>
    <w:rsid w:val="00E26ED0"/>
    <w:rsid w:val="00E321D8"/>
    <w:rsid w:val="00E34F8C"/>
    <w:rsid w:val="00E41AAF"/>
    <w:rsid w:val="00E44560"/>
    <w:rsid w:val="00E4478A"/>
    <w:rsid w:val="00E46C4E"/>
    <w:rsid w:val="00E47E64"/>
    <w:rsid w:val="00E52935"/>
    <w:rsid w:val="00E61C3B"/>
    <w:rsid w:val="00E64776"/>
    <w:rsid w:val="00E65C4D"/>
    <w:rsid w:val="00E65D86"/>
    <w:rsid w:val="00E663AD"/>
    <w:rsid w:val="00E663D1"/>
    <w:rsid w:val="00E71011"/>
    <w:rsid w:val="00E721B8"/>
    <w:rsid w:val="00E748EF"/>
    <w:rsid w:val="00E81F57"/>
    <w:rsid w:val="00E83283"/>
    <w:rsid w:val="00E86881"/>
    <w:rsid w:val="00E90194"/>
    <w:rsid w:val="00E9227A"/>
    <w:rsid w:val="00E95443"/>
    <w:rsid w:val="00E97F51"/>
    <w:rsid w:val="00EA0547"/>
    <w:rsid w:val="00EA0677"/>
    <w:rsid w:val="00EA1972"/>
    <w:rsid w:val="00EA5ABC"/>
    <w:rsid w:val="00EB38AF"/>
    <w:rsid w:val="00EB6547"/>
    <w:rsid w:val="00EC052A"/>
    <w:rsid w:val="00EC445C"/>
    <w:rsid w:val="00EC5282"/>
    <w:rsid w:val="00EC5FA1"/>
    <w:rsid w:val="00ED03AB"/>
    <w:rsid w:val="00ED2B2C"/>
    <w:rsid w:val="00ED3C0C"/>
    <w:rsid w:val="00ED68D9"/>
    <w:rsid w:val="00EE3FE2"/>
    <w:rsid w:val="00EF05CF"/>
    <w:rsid w:val="00EF0DC4"/>
    <w:rsid w:val="00EF16AB"/>
    <w:rsid w:val="00EF2242"/>
    <w:rsid w:val="00EF4512"/>
    <w:rsid w:val="00F0492B"/>
    <w:rsid w:val="00F12286"/>
    <w:rsid w:val="00F12496"/>
    <w:rsid w:val="00F14C09"/>
    <w:rsid w:val="00F15555"/>
    <w:rsid w:val="00F2056B"/>
    <w:rsid w:val="00F2219E"/>
    <w:rsid w:val="00F2538C"/>
    <w:rsid w:val="00F25A37"/>
    <w:rsid w:val="00F25F87"/>
    <w:rsid w:val="00F260FA"/>
    <w:rsid w:val="00F2626F"/>
    <w:rsid w:val="00F36415"/>
    <w:rsid w:val="00F44A4C"/>
    <w:rsid w:val="00F459D6"/>
    <w:rsid w:val="00F46A68"/>
    <w:rsid w:val="00F474E6"/>
    <w:rsid w:val="00F50875"/>
    <w:rsid w:val="00F53237"/>
    <w:rsid w:val="00F57ED8"/>
    <w:rsid w:val="00F63299"/>
    <w:rsid w:val="00F66765"/>
    <w:rsid w:val="00F706C1"/>
    <w:rsid w:val="00F71083"/>
    <w:rsid w:val="00F72CDC"/>
    <w:rsid w:val="00F748B2"/>
    <w:rsid w:val="00F75578"/>
    <w:rsid w:val="00F76533"/>
    <w:rsid w:val="00F76985"/>
    <w:rsid w:val="00F811B1"/>
    <w:rsid w:val="00F815A6"/>
    <w:rsid w:val="00F82CD2"/>
    <w:rsid w:val="00F86CD6"/>
    <w:rsid w:val="00F907E3"/>
    <w:rsid w:val="00F92422"/>
    <w:rsid w:val="00F94042"/>
    <w:rsid w:val="00F95E4C"/>
    <w:rsid w:val="00FA5875"/>
    <w:rsid w:val="00FA6A9F"/>
    <w:rsid w:val="00FA6FD6"/>
    <w:rsid w:val="00FC2098"/>
    <w:rsid w:val="00FC290F"/>
    <w:rsid w:val="00FC7369"/>
    <w:rsid w:val="00FD0450"/>
    <w:rsid w:val="00FD20AE"/>
    <w:rsid w:val="00FD2231"/>
    <w:rsid w:val="00FD53A5"/>
    <w:rsid w:val="00FD610D"/>
    <w:rsid w:val="00FE076F"/>
    <w:rsid w:val="00FE2286"/>
    <w:rsid w:val="00FE37DE"/>
    <w:rsid w:val="00FE67F9"/>
    <w:rsid w:val="00FF3C22"/>
    <w:rsid w:val="00FF4A36"/>
    <w:rsid w:val="00FF566A"/>
    <w:rsid w:val="00FF5A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A648"/>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3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511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FollowedHyperlink">
    <w:name w:val="FollowedHyperlink"/>
    <w:basedOn w:val="DefaultParagraphFont"/>
    <w:uiPriority w:val="99"/>
    <w:semiHidden/>
    <w:unhideWhenUsed/>
    <w:rsid w:val="008F14F0"/>
    <w:rPr>
      <w:color w:val="954F72" w:themeColor="followedHyperlink"/>
      <w:u w:val="single"/>
    </w:rPr>
  </w:style>
  <w:style w:type="character" w:styleId="UnresolvedMention">
    <w:name w:val="Unresolved Mention"/>
    <w:basedOn w:val="DefaultParagraphFont"/>
    <w:uiPriority w:val="99"/>
    <w:semiHidden/>
    <w:unhideWhenUsed/>
    <w:rsid w:val="00F66765"/>
    <w:rPr>
      <w:color w:val="605E5C"/>
      <w:shd w:val="clear" w:color="auto" w:fill="E1DFDD"/>
    </w:rPr>
  </w:style>
  <w:style w:type="character" w:styleId="CommentReference">
    <w:name w:val="annotation reference"/>
    <w:basedOn w:val="DefaultParagraphFont"/>
    <w:uiPriority w:val="99"/>
    <w:semiHidden/>
    <w:unhideWhenUsed/>
    <w:rsid w:val="00130FC0"/>
    <w:rPr>
      <w:sz w:val="16"/>
      <w:szCs w:val="16"/>
    </w:rPr>
  </w:style>
  <w:style w:type="paragraph" w:styleId="CommentText">
    <w:name w:val="annotation text"/>
    <w:basedOn w:val="Normal"/>
    <w:link w:val="CommentTextChar"/>
    <w:uiPriority w:val="99"/>
    <w:semiHidden/>
    <w:unhideWhenUsed/>
    <w:rsid w:val="00130FC0"/>
    <w:rPr>
      <w:sz w:val="20"/>
      <w:szCs w:val="20"/>
    </w:rPr>
  </w:style>
  <w:style w:type="character" w:customStyle="1" w:styleId="CommentTextChar">
    <w:name w:val="Comment Text Char"/>
    <w:basedOn w:val="DefaultParagraphFont"/>
    <w:link w:val="CommentText"/>
    <w:uiPriority w:val="99"/>
    <w:semiHidden/>
    <w:rsid w:val="00130FC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30FC0"/>
    <w:rPr>
      <w:b/>
      <w:bCs/>
    </w:rPr>
  </w:style>
  <w:style w:type="character" w:customStyle="1" w:styleId="CommentSubjectChar">
    <w:name w:val="Comment Subject Char"/>
    <w:basedOn w:val="CommentTextChar"/>
    <w:link w:val="CommentSubject"/>
    <w:uiPriority w:val="99"/>
    <w:semiHidden/>
    <w:rsid w:val="00130FC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30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CEF"/>
    <w:rPr>
      <w:rFonts w:ascii="Segoe UI" w:eastAsia="Times New Roman" w:hAnsi="Segoe UI" w:cs="Segoe UI"/>
      <w:sz w:val="18"/>
      <w:szCs w:val="18"/>
      <w:lang w:eastAsia="en-GB"/>
    </w:rPr>
  </w:style>
  <w:style w:type="character" w:customStyle="1" w:styleId="m-2140960144456565563gmail-apple-converted-space">
    <w:name w:val="m_-2140960144456565563gmail-apple-converted-space"/>
    <w:basedOn w:val="DefaultParagraphFont"/>
    <w:rsid w:val="003817CC"/>
  </w:style>
  <w:style w:type="character" w:customStyle="1" w:styleId="Heading1Char">
    <w:name w:val="Heading 1 Char"/>
    <w:basedOn w:val="DefaultParagraphFont"/>
    <w:link w:val="Heading1"/>
    <w:uiPriority w:val="9"/>
    <w:rsid w:val="006511DC"/>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281617141">
      <w:bodyDiv w:val="1"/>
      <w:marLeft w:val="0"/>
      <w:marRight w:val="0"/>
      <w:marTop w:val="0"/>
      <w:marBottom w:val="0"/>
      <w:divBdr>
        <w:top w:val="none" w:sz="0" w:space="0" w:color="auto"/>
        <w:left w:val="none" w:sz="0" w:space="0" w:color="auto"/>
        <w:bottom w:val="none" w:sz="0" w:space="0" w:color="auto"/>
        <w:right w:val="none" w:sz="0" w:space="0" w:color="auto"/>
      </w:divBdr>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22660393">
      <w:bodyDiv w:val="1"/>
      <w:marLeft w:val="0"/>
      <w:marRight w:val="0"/>
      <w:marTop w:val="0"/>
      <w:marBottom w:val="0"/>
      <w:divBdr>
        <w:top w:val="none" w:sz="0" w:space="0" w:color="auto"/>
        <w:left w:val="none" w:sz="0" w:space="0" w:color="auto"/>
        <w:bottom w:val="none" w:sz="0" w:space="0" w:color="auto"/>
        <w:right w:val="none" w:sz="0" w:space="0" w:color="auto"/>
      </w:divBdr>
    </w:div>
    <w:div w:id="337735887">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483163369">
      <w:bodyDiv w:val="1"/>
      <w:marLeft w:val="0"/>
      <w:marRight w:val="0"/>
      <w:marTop w:val="0"/>
      <w:marBottom w:val="0"/>
      <w:divBdr>
        <w:top w:val="none" w:sz="0" w:space="0" w:color="auto"/>
        <w:left w:val="none" w:sz="0" w:space="0" w:color="auto"/>
        <w:bottom w:val="none" w:sz="0" w:space="0" w:color="auto"/>
        <w:right w:val="none" w:sz="0" w:space="0" w:color="auto"/>
      </w:divBdr>
    </w:div>
    <w:div w:id="681904811">
      <w:bodyDiv w:val="1"/>
      <w:marLeft w:val="0"/>
      <w:marRight w:val="0"/>
      <w:marTop w:val="0"/>
      <w:marBottom w:val="0"/>
      <w:divBdr>
        <w:top w:val="none" w:sz="0" w:space="0" w:color="auto"/>
        <w:left w:val="none" w:sz="0" w:space="0" w:color="auto"/>
        <w:bottom w:val="none" w:sz="0" w:space="0" w:color="auto"/>
        <w:right w:val="none" w:sz="0" w:space="0" w:color="auto"/>
      </w:divBdr>
    </w:div>
    <w:div w:id="683365142">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852839917">
      <w:bodyDiv w:val="1"/>
      <w:marLeft w:val="0"/>
      <w:marRight w:val="0"/>
      <w:marTop w:val="0"/>
      <w:marBottom w:val="0"/>
      <w:divBdr>
        <w:top w:val="none" w:sz="0" w:space="0" w:color="auto"/>
        <w:left w:val="none" w:sz="0" w:space="0" w:color="auto"/>
        <w:bottom w:val="none" w:sz="0" w:space="0" w:color="auto"/>
        <w:right w:val="none" w:sz="0" w:space="0" w:color="auto"/>
      </w:divBdr>
    </w:div>
    <w:div w:id="909846392">
      <w:bodyDiv w:val="1"/>
      <w:marLeft w:val="0"/>
      <w:marRight w:val="0"/>
      <w:marTop w:val="0"/>
      <w:marBottom w:val="0"/>
      <w:divBdr>
        <w:top w:val="none" w:sz="0" w:space="0" w:color="auto"/>
        <w:left w:val="none" w:sz="0" w:space="0" w:color="auto"/>
        <w:bottom w:val="none" w:sz="0" w:space="0" w:color="auto"/>
        <w:right w:val="none" w:sz="0" w:space="0" w:color="auto"/>
      </w:divBdr>
    </w:div>
    <w:div w:id="998535001">
      <w:bodyDiv w:val="1"/>
      <w:marLeft w:val="0"/>
      <w:marRight w:val="0"/>
      <w:marTop w:val="0"/>
      <w:marBottom w:val="0"/>
      <w:divBdr>
        <w:top w:val="none" w:sz="0" w:space="0" w:color="auto"/>
        <w:left w:val="none" w:sz="0" w:space="0" w:color="auto"/>
        <w:bottom w:val="none" w:sz="0" w:space="0" w:color="auto"/>
        <w:right w:val="none" w:sz="0" w:space="0" w:color="auto"/>
      </w:divBdr>
    </w:div>
    <w:div w:id="1000501563">
      <w:bodyDiv w:val="1"/>
      <w:marLeft w:val="0"/>
      <w:marRight w:val="0"/>
      <w:marTop w:val="0"/>
      <w:marBottom w:val="0"/>
      <w:divBdr>
        <w:top w:val="none" w:sz="0" w:space="0" w:color="auto"/>
        <w:left w:val="none" w:sz="0" w:space="0" w:color="auto"/>
        <w:bottom w:val="none" w:sz="0" w:space="0" w:color="auto"/>
        <w:right w:val="none" w:sz="0" w:space="0" w:color="auto"/>
      </w:divBdr>
    </w:div>
    <w:div w:id="1005009395">
      <w:bodyDiv w:val="1"/>
      <w:marLeft w:val="0"/>
      <w:marRight w:val="0"/>
      <w:marTop w:val="0"/>
      <w:marBottom w:val="0"/>
      <w:divBdr>
        <w:top w:val="none" w:sz="0" w:space="0" w:color="auto"/>
        <w:left w:val="none" w:sz="0" w:space="0" w:color="auto"/>
        <w:bottom w:val="none" w:sz="0" w:space="0" w:color="auto"/>
        <w:right w:val="none" w:sz="0" w:space="0" w:color="auto"/>
      </w:divBdr>
    </w:div>
    <w:div w:id="1056315612">
      <w:bodyDiv w:val="1"/>
      <w:marLeft w:val="0"/>
      <w:marRight w:val="0"/>
      <w:marTop w:val="0"/>
      <w:marBottom w:val="0"/>
      <w:divBdr>
        <w:top w:val="none" w:sz="0" w:space="0" w:color="auto"/>
        <w:left w:val="none" w:sz="0" w:space="0" w:color="auto"/>
        <w:bottom w:val="none" w:sz="0" w:space="0" w:color="auto"/>
        <w:right w:val="none" w:sz="0" w:space="0" w:color="auto"/>
      </w:divBdr>
    </w:div>
    <w:div w:id="1120957065">
      <w:bodyDiv w:val="1"/>
      <w:marLeft w:val="0"/>
      <w:marRight w:val="0"/>
      <w:marTop w:val="0"/>
      <w:marBottom w:val="0"/>
      <w:divBdr>
        <w:top w:val="none" w:sz="0" w:space="0" w:color="auto"/>
        <w:left w:val="none" w:sz="0" w:space="0" w:color="auto"/>
        <w:bottom w:val="none" w:sz="0" w:space="0" w:color="auto"/>
        <w:right w:val="none" w:sz="0" w:space="0" w:color="auto"/>
      </w:divBdr>
    </w:div>
    <w:div w:id="1267537991">
      <w:bodyDiv w:val="1"/>
      <w:marLeft w:val="0"/>
      <w:marRight w:val="0"/>
      <w:marTop w:val="0"/>
      <w:marBottom w:val="0"/>
      <w:divBdr>
        <w:top w:val="none" w:sz="0" w:space="0" w:color="auto"/>
        <w:left w:val="none" w:sz="0" w:space="0" w:color="auto"/>
        <w:bottom w:val="none" w:sz="0" w:space="0" w:color="auto"/>
        <w:right w:val="none" w:sz="0" w:space="0" w:color="auto"/>
      </w:divBdr>
    </w:div>
    <w:div w:id="1430544567">
      <w:bodyDiv w:val="1"/>
      <w:marLeft w:val="0"/>
      <w:marRight w:val="0"/>
      <w:marTop w:val="0"/>
      <w:marBottom w:val="0"/>
      <w:divBdr>
        <w:top w:val="none" w:sz="0" w:space="0" w:color="auto"/>
        <w:left w:val="none" w:sz="0" w:space="0" w:color="auto"/>
        <w:bottom w:val="none" w:sz="0" w:space="0" w:color="auto"/>
        <w:right w:val="none" w:sz="0" w:space="0" w:color="auto"/>
      </w:divBdr>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
    <w:div w:id="1556965274">
      <w:bodyDiv w:val="1"/>
      <w:marLeft w:val="0"/>
      <w:marRight w:val="0"/>
      <w:marTop w:val="0"/>
      <w:marBottom w:val="0"/>
      <w:divBdr>
        <w:top w:val="none" w:sz="0" w:space="0" w:color="auto"/>
        <w:left w:val="none" w:sz="0" w:space="0" w:color="auto"/>
        <w:bottom w:val="none" w:sz="0" w:space="0" w:color="auto"/>
        <w:right w:val="none" w:sz="0" w:space="0" w:color="auto"/>
      </w:divBdr>
    </w:div>
    <w:div w:id="1618219394">
      <w:bodyDiv w:val="1"/>
      <w:marLeft w:val="0"/>
      <w:marRight w:val="0"/>
      <w:marTop w:val="0"/>
      <w:marBottom w:val="0"/>
      <w:divBdr>
        <w:top w:val="none" w:sz="0" w:space="0" w:color="auto"/>
        <w:left w:val="none" w:sz="0" w:space="0" w:color="auto"/>
        <w:bottom w:val="none" w:sz="0" w:space="0" w:color="auto"/>
        <w:right w:val="none" w:sz="0" w:space="0" w:color="auto"/>
      </w:divBdr>
    </w:div>
    <w:div w:id="1739474138">
      <w:bodyDiv w:val="1"/>
      <w:marLeft w:val="0"/>
      <w:marRight w:val="0"/>
      <w:marTop w:val="0"/>
      <w:marBottom w:val="0"/>
      <w:divBdr>
        <w:top w:val="none" w:sz="0" w:space="0" w:color="auto"/>
        <w:left w:val="none" w:sz="0" w:space="0" w:color="auto"/>
        <w:bottom w:val="none" w:sz="0" w:space="0" w:color="auto"/>
        <w:right w:val="none" w:sz="0" w:space="0" w:color="auto"/>
      </w:divBdr>
      <w:divsChild>
        <w:div w:id="1329866274">
          <w:marLeft w:val="0"/>
          <w:marRight w:val="0"/>
          <w:marTop w:val="0"/>
          <w:marBottom w:val="0"/>
          <w:divBdr>
            <w:top w:val="none" w:sz="0" w:space="0" w:color="auto"/>
            <w:left w:val="none" w:sz="0" w:space="0" w:color="auto"/>
            <w:bottom w:val="none" w:sz="0" w:space="0" w:color="auto"/>
            <w:right w:val="none" w:sz="0" w:space="0" w:color="auto"/>
          </w:divBdr>
          <w:divsChild>
            <w:div w:id="2026705129">
              <w:marLeft w:val="0"/>
              <w:marRight w:val="0"/>
              <w:marTop w:val="0"/>
              <w:marBottom w:val="0"/>
              <w:divBdr>
                <w:top w:val="none" w:sz="0" w:space="0" w:color="auto"/>
                <w:left w:val="none" w:sz="0" w:space="0" w:color="auto"/>
                <w:bottom w:val="none" w:sz="0" w:space="0" w:color="auto"/>
                <w:right w:val="none" w:sz="0" w:space="0" w:color="auto"/>
              </w:divBdr>
              <w:divsChild>
                <w:div w:id="11328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 w:id="1821994030">
      <w:bodyDiv w:val="1"/>
      <w:marLeft w:val="0"/>
      <w:marRight w:val="0"/>
      <w:marTop w:val="0"/>
      <w:marBottom w:val="0"/>
      <w:divBdr>
        <w:top w:val="none" w:sz="0" w:space="0" w:color="auto"/>
        <w:left w:val="none" w:sz="0" w:space="0" w:color="auto"/>
        <w:bottom w:val="none" w:sz="0" w:space="0" w:color="auto"/>
        <w:right w:val="none" w:sz="0" w:space="0" w:color="auto"/>
      </w:divBdr>
    </w:div>
    <w:div w:id="1877035573">
      <w:bodyDiv w:val="1"/>
      <w:marLeft w:val="0"/>
      <w:marRight w:val="0"/>
      <w:marTop w:val="0"/>
      <w:marBottom w:val="0"/>
      <w:divBdr>
        <w:top w:val="none" w:sz="0" w:space="0" w:color="auto"/>
        <w:left w:val="none" w:sz="0" w:space="0" w:color="auto"/>
        <w:bottom w:val="none" w:sz="0" w:space="0" w:color="auto"/>
        <w:right w:val="none" w:sz="0" w:space="0" w:color="auto"/>
      </w:divBdr>
    </w:div>
    <w:div w:id="1878197334">
      <w:bodyDiv w:val="1"/>
      <w:marLeft w:val="0"/>
      <w:marRight w:val="0"/>
      <w:marTop w:val="0"/>
      <w:marBottom w:val="0"/>
      <w:divBdr>
        <w:top w:val="none" w:sz="0" w:space="0" w:color="auto"/>
        <w:left w:val="none" w:sz="0" w:space="0" w:color="auto"/>
        <w:bottom w:val="none" w:sz="0" w:space="0" w:color="auto"/>
        <w:right w:val="none" w:sz="0" w:space="0" w:color="auto"/>
      </w:divBdr>
    </w:div>
    <w:div w:id="1913542895">
      <w:bodyDiv w:val="1"/>
      <w:marLeft w:val="0"/>
      <w:marRight w:val="0"/>
      <w:marTop w:val="0"/>
      <w:marBottom w:val="0"/>
      <w:divBdr>
        <w:top w:val="none" w:sz="0" w:space="0" w:color="auto"/>
        <w:left w:val="none" w:sz="0" w:space="0" w:color="auto"/>
        <w:bottom w:val="none" w:sz="0" w:space="0" w:color="auto"/>
        <w:right w:val="none" w:sz="0" w:space="0" w:color="auto"/>
      </w:divBdr>
    </w:div>
    <w:div w:id="1947958057">
      <w:bodyDiv w:val="1"/>
      <w:marLeft w:val="0"/>
      <w:marRight w:val="0"/>
      <w:marTop w:val="0"/>
      <w:marBottom w:val="0"/>
      <w:divBdr>
        <w:top w:val="none" w:sz="0" w:space="0" w:color="auto"/>
        <w:left w:val="none" w:sz="0" w:space="0" w:color="auto"/>
        <w:bottom w:val="none" w:sz="0" w:space="0" w:color="auto"/>
        <w:right w:val="none" w:sz="0" w:space="0" w:color="auto"/>
      </w:divBdr>
    </w:div>
    <w:div w:id="2006131732">
      <w:bodyDiv w:val="1"/>
      <w:marLeft w:val="0"/>
      <w:marRight w:val="0"/>
      <w:marTop w:val="0"/>
      <w:marBottom w:val="0"/>
      <w:divBdr>
        <w:top w:val="none" w:sz="0" w:space="0" w:color="auto"/>
        <w:left w:val="none" w:sz="0" w:space="0" w:color="auto"/>
        <w:bottom w:val="none" w:sz="0" w:space="0" w:color="auto"/>
        <w:right w:val="none" w:sz="0" w:space="0" w:color="auto"/>
      </w:divBdr>
    </w:div>
    <w:div w:id="2065639175">
      <w:bodyDiv w:val="1"/>
      <w:marLeft w:val="0"/>
      <w:marRight w:val="0"/>
      <w:marTop w:val="0"/>
      <w:marBottom w:val="0"/>
      <w:divBdr>
        <w:top w:val="none" w:sz="0" w:space="0" w:color="auto"/>
        <w:left w:val="none" w:sz="0" w:space="0" w:color="auto"/>
        <w:bottom w:val="none" w:sz="0" w:space="0" w:color="auto"/>
        <w:right w:val="none" w:sz="0" w:space="0" w:color="auto"/>
      </w:divBdr>
    </w:div>
    <w:div w:id="2079133113">
      <w:bodyDiv w:val="1"/>
      <w:marLeft w:val="0"/>
      <w:marRight w:val="0"/>
      <w:marTop w:val="0"/>
      <w:marBottom w:val="0"/>
      <w:divBdr>
        <w:top w:val="none" w:sz="0" w:space="0" w:color="auto"/>
        <w:left w:val="none" w:sz="0" w:space="0" w:color="auto"/>
        <w:bottom w:val="none" w:sz="0" w:space="0" w:color="auto"/>
        <w:right w:val="none" w:sz="0" w:space="0" w:color="auto"/>
      </w:divBdr>
    </w:div>
    <w:div w:id="2096050646">
      <w:bodyDiv w:val="1"/>
      <w:marLeft w:val="0"/>
      <w:marRight w:val="0"/>
      <w:marTop w:val="0"/>
      <w:marBottom w:val="0"/>
      <w:divBdr>
        <w:top w:val="none" w:sz="0" w:space="0" w:color="auto"/>
        <w:left w:val="none" w:sz="0" w:space="0" w:color="auto"/>
        <w:bottom w:val="none" w:sz="0" w:space="0" w:color="auto"/>
        <w:right w:val="none" w:sz="0" w:space="0" w:color="auto"/>
      </w:divBdr>
    </w:div>
    <w:div w:id="21280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28</Pages>
  <Words>8644</Words>
  <Characters>49272</Characters>
  <Application>Microsoft Office Word</Application>
  <DocSecurity>0</DocSecurity>
  <Lines>410</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Ines Mirković</cp:lastModifiedBy>
  <cp:revision>5</cp:revision>
  <cp:lastPrinted>2025-12-19T10:11:00Z</cp:lastPrinted>
  <dcterms:created xsi:type="dcterms:W3CDTF">2025-12-19T10:12:00Z</dcterms:created>
  <dcterms:modified xsi:type="dcterms:W3CDTF">2025-12-30T07:55:00Z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5b3de1d48b06cff77e558c18bdcb5e24fd5ed37e0801ec35ac29b8b35559cec8</vt:lpwstr>
  </property>
</Properties>
</file>