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6281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62812" w:rsidRDefault="00CD624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62812" w:rsidRDefault="00CD6246">
            <w:pPr>
              <w:spacing w:after="0" w:line="240" w:lineRule="auto"/>
            </w:pPr>
            <w:r>
              <w:t>42024</w:t>
            </w:r>
          </w:p>
        </w:tc>
      </w:tr>
      <w:tr w:rsidR="00C62812" w:rsidRPr="00CD624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62812" w:rsidRDefault="00CD624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62812" w:rsidRPr="00CD6246" w:rsidRDefault="00CD6246">
            <w:pPr>
              <w:spacing w:after="0" w:line="240" w:lineRule="auto"/>
              <w:rPr>
                <w:lang w:val="it-IT"/>
              </w:rPr>
            </w:pPr>
            <w:r w:rsidRPr="00CD6246">
              <w:rPr>
                <w:lang w:val="it-IT"/>
              </w:rPr>
              <w:t>SVEUČILIŠTE JURJA DOBRILE U PULI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62812" w:rsidRDefault="00CD624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62812" w:rsidRDefault="00CD6246">
            <w:pPr>
              <w:spacing w:after="0" w:line="240" w:lineRule="auto"/>
            </w:pPr>
            <w:r>
              <w:t>11</w:t>
            </w:r>
          </w:p>
        </w:tc>
      </w:tr>
    </w:tbl>
    <w:p w:rsidR="00C62812" w:rsidRDefault="00CD6246">
      <w:r>
        <w:br/>
      </w:r>
    </w:p>
    <w:p w:rsidR="00C62812" w:rsidRDefault="00CD624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62812" w:rsidRDefault="00CD624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62812" w:rsidRDefault="00CD624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62812" w:rsidRDefault="00C62812"/>
    <w:p w:rsidR="00C62812" w:rsidRPr="00CD6246" w:rsidRDefault="00CD6246">
      <w:pPr>
        <w:keepNext/>
        <w:spacing w:line="240" w:lineRule="auto"/>
        <w:jc w:val="center"/>
        <w:rPr>
          <w:lang w:val="it-IT"/>
        </w:rPr>
      </w:pPr>
      <w:r w:rsidRPr="00CD6246">
        <w:rPr>
          <w:b/>
          <w:sz w:val="28"/>
          <w:lang w:val="it-IT"/>
        </w:rPr>
        <w:t>Izvještaj o prihodima i rashodima, primicima i izdacima</w:t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16.613.096,10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16.600.968,23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99,9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14.713.942,40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17.086.537,68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b/>
                <w:sz w:val="18"/>
                <w:lang w:val="it-IT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485.569,45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sz w:val="18"/>
                <w:lang w:val="it-IT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1.379.226,11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619.133,90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1.379.226,11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619.133,90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44,9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sz w:val="18"/>
                <w:lang w:val="it-IT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sz w:val="18"/>
                <w:lang w:val="it-IT"/>
              </w:rPr>
              <w:t xml:space="preserve">Izdaci za financijsku imovinu i otplate zajmova </w:t>
            </w:r>
            <w:r w:rsidRPr="00CD6246">
              <w:rPr>
                <w:sz w:val="18"/>
                <w:lang w:val="it-IT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1.327.228,00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1.327.228,00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b/>
                <w:sz w:val="18"/>
                <w:lang w:val="it-IT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807.300,41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1.104.703,35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136,8</w:t>
            </w:r>
          </w:p>
        </w:tc>
      </w:tr>
    </w:tbl>
    <w:p w:rsidR="00C62812" w:rsidRDefault="00C62812">
      <w:pPr>
        <w:spacing w:after="0"/>
      </w:pP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Ukupni prihodi i primici za 2025. godinu iznose 16.600.968,23 EUR.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Ukupni rashodi i izdaci iznose 17.705.671,58 EUR.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lastRenderedPageBreak/>
        <w:t>Ukupan tekući rezultat poslovanja je manjak prihoda nad rashodima u visini od 1.104.703,35 EUR. Preneseni višak prihoda i primitaka iz ra</w:t>
      </w:r>
      <w:r w:rsidRPr="00CD6246">
        <w:rPr>
          <w:lang w:val="it-IT"/>
        </w:rPr>
        <w:t>nijih razdoblja iznosi 1.484.688,01 EUR iz čega se pokriva tekući manjak, te je kumulativni rezultat višak prihoda i primitaka u iznosu od 379.984,66 EUR.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Prihodi poslovanja iznose 16.600.968,23 EUR a ukupni rashodi poslovanja 17.086.537,68 EUR iz čega p</w:t>
      </w:r>
      <w:r w:rsidRPr="00CD6246">
        <w:rPr>
          <w:lang w:val="it-IT"/>
        </w:rPr>
        <w:t>roizlazi manjak prihoda poslovanja odi 485.569,45 EUR.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Prihodi za nabavku nefinancijske imovine nisu ostvareni a rashodi iznose 619.133,90 EUR iz čega proizlazi manjak u istom iznosu.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Sveukupni rezultat poslovanja je manjak prihoda u visini od 1.104.703,</w:t>
      </w:r>
      <w:r w:rsidRPr="00CD6246">
        <w:rPr>
          <w:lang w:val="it-IT"/>
        </w:rPr>
        <w:t>35 EUR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Nakon provedene obavezne korekcije rezultata za kapitalne prijenose sredstava u ukupnom iznosu od 228.335,75 EUR, manjak prihoda poslovanja uvećava se za obveznu korekciju i iskazuje manjak u visini od 713.904,70 EUR. Manjak prihoda za nabavu nef</w:t>
      </w:r>
      <w:r w:rsidRPr="00CD6246">
        <w:rPr>
          <w:lang w:val="it-IT"/>
        </w:rPr>
        <w:t>inancijske imovine smanjen je za iznos obvezne korekcije i iznosi 390.798,65 EUR, a ukupan rezultat ostaje nepromijenjen.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U 2025.godini  iskazani rashodi znatno su viši u odnosu na isto razdoblje prethodne godine iz razloga što je promijenjena metodologi</w:t>
      </w:r>
      <w:r w:rsidRPr="00CD6246">
        <w:rPr>
          <w:lang w:val="it-IT"/>
        </w:rPr>
        <w:t>ja knjiženja plaća pa je u 2025. godina proknjiženo 13 obračunatih plaća  - odnosno proknjižena je  i plaća za 12/2024 u iznosu od 914.026,18 eura što je izravno utjecalo na visinu ostvarenog manjka.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Na ostvareni manjak utjecala je i činjenica da nije nap</w:t>
      </w:r>
      <w:r w:rsidRPr="00CD6246">
        <w:rPr>
          <w:lang w:val="it-IT"/>
        </w:rPr>
        <w:t>laćen prihod za zadnje tromjesečje 2025, a temeljem potpisanog programskog ugovora sa MZOM (oko 200.000,00 EUR), kao ni prihod temeljem potpisanog ugovora sa Istarskom Županijom  (100.000,00 EUR).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br/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9.680.218,61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11.713.245,45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 xml:space="preserve">U 2025.godini  iskazani rashodi znatno su viši u odnosu na isto razdoblje prethodne godine iz razloga što je promijenjena metodologija knjiženja plaća pa je u 2025. godina proknjiženo 13 </w:t>
      </w:r>
      <w:r>
        <w:lastRenderedPageBreak/>
        <w:t>obračunatih plaća  - odnosno proknjižena je  i plaća za 12/2024 u izn</w:t>
      </w:r>
      <w:r>
        <w:t>osu od 914.026,18 eura što je izravno utjecalo na visinu ostvarenog manjka.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12.453.174,07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12.263.253,59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98,5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U koloni "Ostvareno u izvještajnom razdoblju prethodne godine" Višak prihoda poslovanja -preneseni povećan je za iznos 39.570,39 EUR koliko je bilo evidentirano na grupi konta 98 -Rezerviranja viška prihoda s obzirom da su ta konta u kontnom planu za 2025.</w:t>
      </w:r>
      <w:r>
        <w:t xml:space="preserve"> brisana.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Pr="00CD6246" w:rsidRDefault="00CD6246">
            <w:pPr>
              <w:keepNext/>
              <w:keepLines/>
              <w:spacing w:after="0" w:line="240" w:lineRule="auto"/>
              <w:rPr>
                <w:lang w:val="it-IT"/>
              </w:rPr>
            </w:pPr>
            <w:r w:rsidRPr="00CD6246">
              <w:rPr>
                <w:sz w:val="18"/>
                <w:lang w:val="it-IT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807.300,41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1.104.703,35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Prihodi poslovanja iznose 16.600.968,23 EUR a ukupni rashodi poslovanja 17.086.537,68 EUR iz čega proizlazi manjak prihoda poslovanja odi 485.569,45 EUR. </w:t>
      </w:r>
    </w:p>
    <w:p w:rsidR="00C62812" w:rsidRDefault="00CD6246">
      <w:r>
        <w:t>Prihodi za nabavku nefinancijske imovine nisu ostvareni a rashodi iznose 619.133,90 EUR iz čega proi</w:t>
      </w:r>
      <w:r>
        <w:t>zlazi manjak u istom iznosu. </w:t>
      </w:r>
    </w:p>
    <w:p w:rsidR="00C62812" w:rsidRDefault="00CD6246">
      <w:r>
        <w:t>Sveukupni rezultat poslovanja je manjak prihoda u visini od 1.104.703,35 EUR </w:t>
      </w: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1.476.643,04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379.984,66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</w:tbl>
    <w:p w:rsidR="00C62812" w:rsidRDefault="00C62812">
      <w:pPr>
        <w:spacing w:after="0"/>
      </w:pP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t>Ukupni prihodi i primici za 2025. godinu iznose 16.600.968,23 EUR. </w:t>
      </w:r>
    </w:p>
    <w:p w:rsidR="00C62812" w:rsidRPr="00CD6246" w:rsidRDefault="00CD6246">
      <w:pPr>
        <w:rPr>
          <w:lang w:val="it-IT"/>
        </w:rPr>
      </w:pPr>
      <w:r w:rsidRPr="00CD6246">
        <w:rPr>
          <w:lang w:val="it-IT"/>
        </w:rPr>
        <w:lastRenderedPageBreak/>
        <w:t>Ukupni rashodi i izdaci iznose 17.705.671,58 EUR. </w:t>
      </w:r>
    </w:p>
    <w:p w:rsidR="00C62812" w:rsidRDefault="00CD6246">
      <w:r w:rsidRPr="00CD6246">
        <w:rPr>
          <w:lang w:val="it-IT"/>
        </w:rPr>
        <w:t xml:space="preserve">Ukupan tekući rezultat poslovanja je manjak prihoda nad rashodima u visini od 1.104.703,35 EUR. </w:t>
      </w:r>
      <w:r>
        <w:t>Preneseni višak prihoda i primitaka iz ranijih razdoblja iznosi 1.484.688,01 EUR iz čega se pokriva tekući ma</w:t>
      </w:r>
      <w:r>
        <w:t>njak, te je kumulativni rezultat višak prihoda i primitaka u iznosu od 379.984,66 EUR.</w:t>
      </w: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34.855.540,20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34.673.530,13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nefinancijske imovine sa stanjem na dan 31. prosinca 2025. godine iznosi ukupno 34.673.540,20 EUR, što predstavlja smanjenje od 0,50% u odnosu na vrijednost početkom 2025. godine.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756.355,08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595.410,91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78,7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Na šifri 022 i 02922  – Postrojenja i opreme došlo je do smanjenja vrijednosti od 21,3% na što je najveći  utjecaj imao ispravak vrijednosti opreme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511.683,91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206.436,97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40,3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lastRenderedPageBreak/>
        <w:t>Potraživanja za prihode poslovanja na dan 31. prosinca 2025. godine iznose ukupno 206.436,97 EUR, i smanjila su se  u odnosu na proteklu godinu za 59,70%  zbog provedenih povećanih aktivosti na naplati potraživanja.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1.206.026,32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1.426.683,58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Stanje obveza na dan 01. siječnja 2025. godine iznosi ukupno 1.206.026,32 EUR, a na dan 31. prosinca 2025. godine iznosi ukupno 1.426.683,58 EUR od čega se na dospjele obveze odnosi 135.272,27 EUR, a nedospjele 1.291.411,31 EUR koje se najvećim dijelom odn</w:t>
      </w:r>
      <w:r>
        <w:t>ose na obveze za plaću za prosinac 2025. godine koja će biti isplaćena u siječnju 2026. godine. 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jamčevne pologe i </w:t>
            </w:r>
            <w:r>
              <w:rPr>
                <w:sz w:val="18"/>
              </w:rPr>
              <w:t>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21.040,44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U 2025 prethodni konto 23958 Obveze proračunskih korisnika za povrat u proračun knjiži se na konto 27611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</w:t>
            </w:r>
            <w:r>
              <w:rPr>
                <w:sz w:val="18"/>
              </w:rPr>
              <w:t>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1.476.643,04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379.984,66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Ukupni prihodi i primici za 2025. godinu iznose 16.600.968,23 EUR. </w:t>
      </w:r>
    </w:p>
    <w:p w:rsidR="00C62812" w:rsidRDefault="00CD6246">
      <w:r>
        <w:t>Ukupni rashodi i izdaci iznose 17.705.671,58 EUR. </w:t>
      </w:r>
    </w:p>
    <w:p w:rsidR="00C62812" w:rsidRDefault="00CD6246">
      <w:r>
        <w:t xml:space="preserve">Ukupan tekući rezultat poslovanja je manjak prihoda nad rashodima u visini od 1.104.703,35 EUR. Preneseni višak prihoda i primitaka iz ranijih razdoblja iznosi 1.484.688,01 EUR iz čega se </w:t>
      </w:r>
      <w:r>
        <w:lastRenderedPageBreak/>
        <w:t>pokriva tekući manjak, te je kumulativni rezultat višak prihoda i pr</w:t>
      </w:r>
      <w:r>
        <w:t>imitaka u iznosu od 379.984,66 EUR.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9.801.861,80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9.990.555,10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izvanbilančnih zapisa sa stanjem na dan 31. prosinca 2025. godine iznosi ukupno 9.990.555,10 EUR. Najveći dio vrijednosti izvanbilančnih zapisa odnosi se na procijenu vrijednosti zgrade Sveučilišta Jurja Dobrile u Puli (ex Neurologija  - ex Inte</w:t>
      </w:r>
      <w:r>
        <w:t>rna  u Zagrebačkoj 30) i preuzete obveze po ugovorima o nabavi roba, radova i usluga.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9.801.861,80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9.990.555,10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izvanbilančnih zapisa sa stanjem na dan 31. prosinca 2025. godine iznosi ukupno 9.990.555,10 EUR. Najveći dio vrijednosti izvanbilančnih zapisa odnosi se na procijnu vrijednosti zgrade Sveučilišta Jurja Dobrile u Puli (ex Neurologija - e</w:t>
      </w:r>
      <w:r>
        <w:t>x Interna  u Zagrebačkoj 30) i preuzete obveze po ugovorima o nabavi roba, radova i usluga.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proračuna za povrat sredstava proračunskih</w:t>
            </w:r>
            <w:r>
              <w:rPr>
                <w:sz w:val="18"/>
              </w:rPr>
              <w:t xml:space="preserve"> korisnika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14.788,19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1612,4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Potraživanje se odnosi na 10 i 11. mjesec 2025 s obveza refundacije bolovanja od strane HZZO-a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9.079,26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Potraživanje se odnosi na mjesec prosinac.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Preuzete obveze po ugovorima o nabavi roba, radova i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271.170,49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Preuzete obveze po ugovorima o nabavi roba, radova i usluga.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izvanbilančni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Visoka naobrazba (šifre 0941+0942)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16.093.168,51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17.705.671,58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rashoda u ukupnom iznosu od 17.705.671,58 EUR prema funkcijskoj klasifikaciji spada u visoku naobrazbu – šifra 094.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iskazana na stavci 91512 iznosi  279,92 EUR rezultat je rashoda dijelom neamortizirane imovine.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obveza (šifre P035 do P038)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21.302,01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21.302,01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Vrijednost iskazana na stavci 91522  iznosi 21.302,01 EUR i odnosi se na otpis obveze prema pravomoćnoj sudskoj presudi.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1.426.683,58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31. prosinca 2025. godine ukupne obveze iznose ukupno 1.426.683,58 EUR od čega se na dospjele obveze odnosi 135.272,27 EUR, a nedospjele 1.291.411,31 EUR koje se najvećim dijelom odnose na obveze za plaću za prosinac 2025. godine koja će biti isplaćena u s</w:t>
      </w:r>
      <w:r>
        <w:t>iječnju 2026. godine. </w:t>
      </w:r>
    </w:p>
    <w:p w:rsidR="00C62812" w:rsidRDefault="00CD6246">
      <w:r>
        <w:t> 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62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6281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628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135.272,27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62812" w:rsidRDefault="00CD624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62812" w:rsidRDefault="00C62812">
      <w:pPr>
        <w:spacing w:after="0"/>
      </w:pPr>
    </w:p>
    <w:p w:rsidR="00C62812" w:rsidRDefault="00CD6246">
      <w:r>
        <w:t>Odnosi se na proknjižene račune iz 2025, koji su pristigli u 2026 i koji su plaćeni početkom siječnja 2026.</w:t>
      </w:r>
    </w:p>
    <w:p w:rsidR="00C62812" w:rsidRDefault="00C62812"/>
    <w:p w:rsidR="00C62812" w:rsidRDefault="00CD6246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C62812" w:rsidRDefault="00CD6246">
      <w:pPr>
        <w:spacing w:line="240" w:lineRule="auto"/>
        <w:jc w:val="both"/>
      </w:pPr>
      <w:r>
        <w:rPr>
          <w:b/>
        </w:rPr>
        <w:t>EU izvještaj</w:t>
      </w:r>
    </w:p>
    <w:p w:rsidR="00C62812" w:rsidRDefault="00CD6246">
      <w:r>
        <w:t>EU izvještaj po izvorima financiranja obuhvaća prihode i rashode iskazane po izvorima iz nove klasifikacije prema Praviln</w:t>
      </w:r>
      <w:r>
        <w:t>iku o izmjenama i dopunama pravilnika o proračunskim klasifikacijama (NN 122/2025). </w:t>
      </w:r>
    </w:p>
    <w:p w:rsidR="00C62812" w:rsidRDefault="00CD6246">
      <w:r>
        <w:t>Na izvoru 510 - Programi unije (po projektima čiji izvori odgovaraju izvoru 510) ostvaren je prihod poslovanja od 337.968,24 EUR te rashodi poslovanja u iznosu od 417.015,</w:t>
      </w:r>
      <w:r>
        <w:t>64 EUR i rashodi za nabavu nefinancijske imovine u iznosu od 11.376,31 EUR.</w:t>
      </w:r>
    </w:p>
    <w:p w:rsidR="00C62812" w:rsidRDefault="00CD6246">
      <w:r>
        <w:t>Na izvoru 563 - Europski fond za regionalni razvoj ostvaren je prihod poslovanja od 504.526,06 EUR te rashodi poslovanja u iznosu od 358.673,62 eur i rashodi za nabavu nefinancijsk</w:t>
      </w:r>
      <w:r>
        <w:t>e imovine u iznosu od 3.866,60 EUR.</w:t>
      </w: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D6246">
      <w:r>
        <w:t> </w:t>
      </w:r>
    </w:p>
    <w:p w:rsidR="00C62812" w:rsidRDefault="00C62812"/>
    <w:sectPr w:rsidR="00C628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12"/>
    <w:rsid w:val="00C62812"/>
    <w:rsid w:val="00C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C74A1-766B-40C5-8E71-CA2A43E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 Matijaš-Ivančić</dc:creator>
  <cp:lastModifiedBy>Nadija Matijaš-Ivančić</cp:lastModifiedBy>
  <cp:revision>2</cp:revision>
  <cp:lastPrinted>2026-02-02T13:25:00Z</cp:lastPrinted>
  <dcterms:created xsi:type="dcterms:W3CDTF">2026-02-02T13:25:00Z</dcterms:created>
  <dcterms:modified xsi:type="dcterms:W3CDTF">2026-02-02T13:25:00Z</dcterms:modified>
</cp:coreProperties>
</file>